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B" w:rsidRPr="00A91E99" w:rsidRDefault="00C53C47" w:rsidP="0058171B">
      <w:pPr>
        <w:pStyle w:val="Caption"/>
        <w:spacing w:line="360" w:lineRule="auto"/>
        <w:rPr>
          <w:rFonts w:ascii="Times New Roman" w:hAnsi="Times New Roman"/>
          <w:sz w:val="24"/>
          <w:szCs w:val="24"/>
          <w:lang w:eastAsia="en-IE"/>
        </w:rPr>
      </w:pPr>
      <w:r>
        <w:rPr>
          <w:rFonts w:ascii="Times New Roman" w:hAnsi="Times New Roman"/>
          <w:sz w:val="24"/>
          <w:szCs w:val="24"/>
        </w:rPr>
        <w:t>Table A</w:t>
      </w:r>
      <w:r w:rsidR="0058171B" w:rsidRPr="00A91E99">
        <w:rPr>
          <w:rFonts w:ascii="Times New Roman" w:hAnsi="Times New Roman"/>
          <w:sz w:val="24"/>
          <w:szCs w:val="24"/>
        </w:rPr>
        <w:t>1: Prevalence and reliability of individual STOPP criteria measures of PIP in 2007</w:t>
      </w:r>
    </w:p>
    <w:tbl>
      <w:tblPr>
        <w:tblW w:w="8472" w:type="dxa"/>
        <w:tblBorders>
          <w:top w:val="single" w:sz="4" w:space="0" w:color="auto"/>
          <w:bottom w:val="single" w:sz="2" w:space="0" w:color="auto"/>
        </w:tblBorders>
        <w:tblLayout w:type="fixed"/>
        <w:tblLook w:val="01E0"/>
      </w:tblPr>
      <w:tblGrid>
        <w:gridCol w:w="1668"/>
        <w:gridCol w:w="992"/>
        <w:gridCol w:w="2126"/>
        <w:gridCol w:w="1418"/>
        <w:gridCol w:w="1134"/>
        <w:gridCol w:w="1134"/>
      </w:tblGrid>
      <w:tr w:rsidR="0058171B" w:rsidRPr="00A91E99" w:rsidTr="0058171B">
        <w:trPr>
          <w:trHeight w:val="656"/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Cs/>
                <w:sz w:val="20"/>
                <w:szCs w:val="20"/>
              </w:rPr>
              <w:t>Criteria Description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Cs/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Cs/>
                <w:sz w:val="20"/>
                <w:szCs w:val="20"/>
              </w:rPr>
              <w:t>% (95% CI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s</w:t>
            </w:r>
            <w:r w:rsidRPr="00A91E99">
              <w:rPr>
                <w:rFonts w:ascii="Times New Roman" w:hAnsi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Cs/>
                <w:sz w:val="20"/>
                <w:szCs w:val="20"/>
              </w:rPr>
              <w:t>Reliability for GP with median denominator size*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Cs/>
                <w:sz w:val="20"/>
                <w:szCs w:val="20"/>
              </w:rPr>
              <w:t>% of practices with reliability &gt; 0.7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bCs/>
                <w:sz w:val="20"/>
                <w:szCs w:val="20"/>
              </w:rPr>
              <w:t>% of practices with reliability &gt; 0.8</w:t>
            </w:r>
          </w:p>
        </w:tc>
      </w:tr>
      <w:tr w:rsidR="0058171B" w:rsidRPr="00A91E99" w:rsidTr="0058171B">
        <w:trPr>
          <w:trHeight w:val="289"/>
        </w:trPr>
        <w:tc>
          <w:tcPr>
            <w:tcW w:w="1668" w:type="dxa"/>
            <w:tcBorders>
              <w:top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All thirty STOPP criteria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 (any PIP)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121,109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35.75 (35.68, 35.83)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76.57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</w:tr>
      <w:tr w:rsidR="0058171B" w:rsidRPr="00A91E99" w:rsidTr="0058171B">
        <w:trPr>
          <w:trHeight w:val="377"/>
        </w:trPr>
        <w:tc>
          <w:tcPr>
            <w:tcW w:w="1668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289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Cardiovascular System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spacing w:before="100" w:beforeAutospacing="1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Digoxin &gt; 125μg/day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1,211</w:t>
            </w: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0.36 (0.35, 0.36)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96.75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93.96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Thiazide diuretic with gout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1,216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0.36 (0.35, 0.36)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95.15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90.45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Beta-blocker with COPD†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7,924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2.34 (2.33, 2.34)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86.53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77.76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Beta-blocker with verapamil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0.24 (0.23, 0.24)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96.39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93.19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Aspirin and warfarin without histamine H2 receptor antagonist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(except cimetidine) or PPI† 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3,693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1.09 (1.08, 1.09)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93.03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86.07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Dipyridamole as monotherapy for cardiovascular secondary prevention 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219</w:t>
            </w: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0.06 (0.06, 0.07)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99.02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96.39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Aspirin &gt; 150mg/day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5,711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1.69 (1.68, 1.69)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93.45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87.25</w:t>
            </w:r>
          </w:p>
        </w:tc>
      </w:tr>
      <w:tr w:rsidR="0058171B" w:rsidRPr="00A91E99" w:rsidTr="0058171B">
        <w:trPr>
          <w:trHeight w:val="334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13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Central Nervous System and</w:t>
            </w:r>
            <w:r w:rsidRPr="00A91E9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psychotropic drugs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TCA† with dementia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0.18 (0.17, 0.18)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93.45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87.25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lastRenderedPageBreak/>
              <w:t>TCA and glaucoma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0.14 (0.13, 0.14)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94.38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88.85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TCA and opiate or calcium channel blockers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6,944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2.05 (2.04, 2.06)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88.85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80.55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Long-term (&gt; 1 month), long-acting benzodiazepine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17,649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5.21 (5.19, 5.23)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91.12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82.97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Long-term (&gt; 1 month) neuroleptics  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5,657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1.67 (1.67, 1.68)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93.45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87.25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Long-term (&gt; 1 month) neuroleptics with parkinsonism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1,295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0.38 (0.37, 0.38)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96.75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93.96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Anticholinergics to treat extrapyramidal side effects of neuroleptic medications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1,526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0.45 (0.44, 0.45)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97.16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94.22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Phenothiazines with epilepsy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0.24 (0.23, 0.24)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94.38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88.85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Prolonged use (i.e. &gt; 1 week) of first-generation antihistamines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3,248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0.96 (0.95, 0.96)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92.67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85.19</w:t>
            </w:r>
          </w:p>
        </w:tc>
      </w:tr>
      <w:tr w:rsidR="0058171B" w:rsidRPr="00A91E99" w:rsidTr="0058171B">
        <w:trPr>
          <w:trHeight w:val="249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Gastrointestinal System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19"/>
                <w:szCs w:val="19"/>
              </w:rPr>
              <w:t xml:space="preserve">Prochlorperazine </w:t>
            </w:r>
            <w:r w:rsidRPr="00A91E99">
              <w:rPr>
                <w:rFonts w:ascii="Times New Roman" w:hAnsi="Times New Roman"/>
                <w:sz w:val="20"/>
                <w:szCs w:val="20"/>
              </w:rPr>
              <w:t>or metoclopramide with parkinsonism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0.21 (0.21, 0.22)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95.15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90.45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PPI for peptic ulcer disease at maximum therapeutic dosage for &gt; 8 weeks‡ 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56,452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16.67 (16.62, 16.71)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82.56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70.12</w:t>
            </w:r>
          </w:p>
        </w:tc>
      </w:tr>
      <w:tr w:rsidR="0058171B" w:rsidRPr="00A91E99" w:rsidTr="0058171B">
        <w:trPr>
          <w:trHeight w:val="180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360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Respiratory System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Theophylline with COPD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4,008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1.18 (1.18, 1.19)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97.16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94.22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Nebulised ipratropium with glaucoma 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0.01 (0.01, 0.02)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58171B" w:rsidRPr="00A91E99" w:rsidTr="0058171B">
        <w:trPr>
          <w:trHeight w:val="253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367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Musculoskeletal System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 xml:space="preserve">Long-term use of NSAID† (&gt; 3 months) 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29,555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8.73 (8.70, 8.75)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86.07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76.42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Warfarin and NSAID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2,535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0.75 (0.74, 0.75)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88.85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80.55</w:t>
            </w:r>
          </w:p>
        </w:tc>
      </w:tr>
      <w:tr w:rsidR="0058171B" w:rsidRPr="00A91E99" w:rsidTr="0058171B">
        <w:trPr>
          <w:trHeight w:val="307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17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Urogenital System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Antimuscarinic drugs with dementia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1,568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0.46 (0.45, 0.46)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91.12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82.97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Antimuscarinic drugs with chronic glaucoma (&gt; 3 months)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58171B" w:rsidRPr="00A91E99" w:rsidTr="0058171B">
        <w:trPr>
          <w:trHeight w:val="321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217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Endocrine System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Glibenclamide or chlorpropamide with type 2 diabetes mellitus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0.29 (0.28, 0.29)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99.85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97.16</w:t>
            </w:r>
          </w:p>
        </w:tc>
      </w:tr>
      <w:tr w:rsidR="0058171B" w:rsidRPr="00A91E99" w:rsidTr="0058171B">
        <w:trPr>
          <w:trHeight w:val="179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/>
                <w:i/>
                <w:sz w:val="20"/>
                <w:szCs w:val="20"/>
              </w:rPr>
              <w:t>Duplicate Drug Class Prescription</w:t>
            </w: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A91E99">
              <w:rPr>
                <w:rFonts w:ascii="Times New Roman" w:hAnsi="Times New Roman"/>
                <w:bCs/>
                <w:sz w:val="20"/>
                <w:szCs w:val="20"/>
                <w:lang w:eastAsia="en-IE"/>
              </w:rPr>
              <w:t>Two concurrent opiates, NSAIDs, SSRIs</w:t>
            </w:r>
            <w:r w:rsidRPr="00A91E99">
              <w:rPr>
                <w:rFonts w:ascii="Times New Roman" w:hAnsi="Times New Roman"/>
                <w:sz w:val="20"/>
                <w:szCs w:val="20"/>
              </w:rPr>
              <w:t>†</w:t>
            </w:r>
            <w:r w:rsidRPr="00A91E99">
              <w:rPr>
                <w:rFonts w:ascii="Times New Roman" w:hAnsi="Times New Roman"/>
                <w:bCs/>
                <w:sz w:val="20"/>
                <w:szCs w:val="20"/>
                <w:lang w:eastAsia="en-IE"/>
              </w:rPr>
              <w:t>,  antidepressantsloop diuretics, ACE inhibitors</w:t>
            </w:r>
            <w:r w:rsidRPr="00A91E99">
              <w:rPr>
                <w:rFonts w:ascii="Times New Roman" w:hAnsi="Times New Roman"/>
                <w:sz w:val="20"/>
                <w:szCs w:val="20"/>
              </w:rPr>
              <w:t>†</w:t>
            </w: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16,201§</w:t>
            </w: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4.78 (4.78, 4.80)</w:t>
            </w: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86.07</w:t>
            </w: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E99">
              <w:rPr>
                <w:rFonts w:ascii="Times New Roman" w:hAnsi="Times New Roman"/>
                <w:sz w:val="20"/>
                <w:szCs w:val="20"/>
              </w:rPr>
              <w:t>76.42</w:t>
            </w:r>
          </w:p>
        </w:tc>
      </w:tr>
      <w:tr w:rsidR="0058171B" w:rsidRPr="00A91E99" w:rsidTr="0058171B">
        <w:trPr>
          <w:trHeight w:val="465"/>
        </w:trPr>
        <w:tc>
          <w:tcPr>
            <w:tcW w:w="1668" w:type="dxa"/>
          </w:tcPr>
          <w:p w:rsidR="0058171B" w:rsidRPr="00A91E99" w:rsidRDefault="0058171B" w:rsidP="0058171B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71B" w:rsidRPr="00A91E99" w:rsidRDefault="0058171B" w:rsidP="0058171B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71B" w:rsidRPr="00A91E99" w:rsidRDefault="0058171B" w:rsidP="0058171B">
      <w:pPr>
        <w:jc w:val="both"/>
        <w:rPr>
          <w:rFonts w:ascii="Times New Roman" w:hAnsi="Times New Roman"/>
          <w:sz w:val="20"/>
          <w:szCs w:val="20"/>
        </w:rPr>
      </w:pPr>
      <w:r w:rsidRPr="00A91E99">
        <w:rPr>
          <w:rFonts w:ascii="Times New Roman" w:hAnsi="Times New Roman"/>
          <w:sz w:val="20"/>
          <w:szCs w:val="20"/>
        </w:rPr>
        <w:t xml:space="preserve">*Reliability coefficient can vary between 0 (completely unreliable) and 1 (completely reliable). Reliability greater than 0.7 indicates acceptable reliability and reliabilities of 0.8-0.9 are preferable for important evaluations such as paying practitioners for their performance on certain quality indicators.  </w:t>
      </w:r>
    </w:p>
    <w:p w:rsidR="0058171B" w:rsidRPr="00A91E99" w:rsidRDefault="0058171B" w:rsidP="0058171B">
      <w:pPr>
        <w:jc w:val="both"/>
        <w:rPr>
          <w:rFonts w:ascii="Times New Roman" w:hAnsi="Times New Roman"/>
          <w:sz w:val="20"/>
          <w:szCs w:val="20"/>
        </w:rPr>
      </w:pPr>
      <w:r w:rsidRPr="00A91E99">
        <w:rPr>
          <w:rFonts w:ascii="Times New Roman" w:hAnsi="Times New Roman"/>
          <w:sz w:val="20"/>
          <w:szCs w:val="20"/>
        </w:rPr>
        <w:t>†COPD= chronic obstructive pulmonary disease, PPI= proton pump inhibitor, TCA= tricyclic antidepressant, NSAID= non-steroidal anti-inflammatory drug, SSRI= selective serotonin reuptake inhibitor, ACE inhibitors= Angiotensin converting enzyme inhibitors.</w:t>
      </w:r>
    </w:p>
    <w:p w:rsidR="0058171B" w:rsidRPr="00A91E99" w:rsidRDefault="0058171B" w:rsidP="0058171B">
      <w:pPr>
        <w:jc w:val="both"/>
        <w:rPr>
          <w:rFonts w:ascii="Times New Roman" w:hAnsi="Times New Roman"/>
          <w:sz w:val="20"/>
          <w:szCs w:val="20"/>
        </w:rPr>
      </w:pPr>
      <w:r w:rsidRPr="00A91E99">
        <w:rPr>
          <w:rFonts w:ascii="Times New Roman" w:hAnsi="Times New Roman"/>
          <w:sz w:val="20"/>
          <w:szCs w:val="20"/>
        </w:rPr>
        <w:t xml:space="preserve">‡ PPI at maximum therapeutic dose= 40mg/daily omeprazole, pantoprazole and esomeprazole, 30mg/daily lansoprazole and 20mg/daily rabeprazole. </w:t>
      </w:r>
    </w:p>
    <w:p w:rsidR="008F5CEA" w:rsidRDefault="0058171B" w:rsidP="0058171B">
      <w:pPr>
        <w:jc w:val="both"/>
      </w:pPr>
      <w:r w:rsidRPr="00A91E99">
        <w:rPr>
          <w:rFonts w:ascii="Times New Roman" w:hAnsi="Times New Roman"/>
          <w:sz w:val="20"/>
          <w:szCs w:val="20"/>
        </w:rPr>
        <w:t>§ Adjusted for those receiving more than one duplicate prescription.</w:t>
      </w:r>
    </w:p>
    <w:sectPr w:rsidR="008F5CEA" w:rsidSect="008F5CE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94" w:rsidRDefault="00646894" w:rsidP="00F60708">
      <w:pPr>
        <w:spacing w:after="0" w:line="240" w:lineRule="auto"/>
      </w:pPr>
      <w:r>
        <w:separator/>
      </w:r>
    </w:p>
  </w:endnote>
  <w:endnote w:type="continuationSeparator" w:id="0">
    <w:p w:rsidR="00646894" w:rsidRDefault="00646894" w:rsidP="00F6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08" w:rsidRDefault="007E4436">
    <w:pPr>
      <w:pStyle w:val="Footer"/>
      <w:jc w:val="center"/>
    </w:pPr>
    <w:fldSimple w:instr=" PAGE   \* MERGEFORMAT ">
      <w:r w:rsidR="00A03444">
        <w:rPr>
          <w:noProof/>
        </w:rPr>
        <w:t>1</w:t>
      </w:r>
    </w:fldSimple>
  </w:p>
  <w:p w:rsidR="00F60708" w:rsidRDefault="00F60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94" w:rsidRDefault="00646894" w:rsidP="00F60708">
      <w:pPr>
        <w:spacing w:after="0" w:line="240" w:lineRule="auto"/>
      </w:pPr>
      <w:r>
        <w:separator/>
      </w:r>
    </w:p>
  </w:footnote>
  <w:footnote w:type="continuationSeparator" w:id="0">
    <w:p w:rsidR="00646894" w:rsidRDefault="00646894" w:rsidP="00F60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71B"/>
    <w:rsid w:val="00010203"/>
    <w:rsid w:val="00262C2F"/>
    <w:rsid w:val="005526B1"/>
    <w:rsid w:val="0058171B"/>
    <w:rsid w:val="00646894"/>
    <w:rsid w:val="00665AD2"/>
    <w:rsid w:val="006E64F0"/>
    <w:rsid w:val="006F2BC0"/>
    <w:rsid w:val="007E4436"/>
    <w:rsid w:val="008A5688"/>
    <w:rsid w:val="008F5CEA"/>
    <w:rsid w:val="0094246E"/>
    <w:rsid w:val="009E2BA1"/>
    <w:rsid w:val="00A03444"/>
    <w:rsid w:val="00A163EA"/>
    <w:rsid w:val="00B042DF"/>
    <w:rsid w:val="00B55DA2"/>
    <w:rsid w:val="00BB6A7F"/>
    <w:rsid w:val="00BD3F4C"/>
    <w:rsid w:val="00BD7AC3"/>
    <w:rsid w:val="00BF0C19"/>
    <w:rsid w:val="00C53C47"/>
    <w:rsid w:val="00D377EE"/>
    <w:rsid w:val="00DD37EB"/>
    <w:rsid w:val="00F575CC"/>
    <w:rsid w:val="00F60708"/>
    <w:rsid w:val="00F61482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1B"/>
    <w:pPr>
      <w:spacing w:after="200" w:line="360" w:lineRule="auto"/>
    </w:pPr>
    <w:rPr>
      <w:rFonts w:ascii="Microsoft Sans Serif" w:hAnsi="Microsoft Sans Serif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58171B"/>
    <w:pPr>
      <w:spacing w:line="240" w:lineRule="auto"/>
    </w:pPr>
    <w:rPr>
      <w:b/>
      <w:bCs/>
      <w:sz w:val="20"/>
      <w:szCs w:val="18"/>
    </w:rPr>
  </w:style>
  <w:style w:type="paragraph" w:styleId="NoSpacing">
    <w:name w:val="No Spacing"/>
    <w:link w:val="NoSpacingChar"/>
    <w:uiPriority w:val="1"/>
    <w:qFormat/>
    <w:rsid w:val="0058171B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171B"/>
    <w:rPr>
      <w:sz w:val="22"/>
      <w:szCs w:val="22"/>
      <w:lang w:val="en-IE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60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708"/>
    <w:rPr>
      <w:rFonts w:ascii="Microsoft Sans Serif" w:hAnsi="Microsoft Sans Serif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08"/>
    <w:rPr>
      <w:rFonts w:ascii="Microsoft Sans Serif" w:hAnsi="Microsoft Sans Serif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in Ireland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CaitrionaCahir</dc:creator>
  <cp:lastModifiedBy>RCSIAdmin</cp:lastModifiedBy>
  <cp:revision>2</cp:revision>
  <dcterms:created xsi:type="dcterms:W3CDTF">2014-04-08T14:00:00Z</dcterms:created>
  <dcterms:modified xsi:type="dcterms:W3CDTF">2014-04-08T14:00:00Z</dcterms:modified>
</cp:coreProperties>
</file>