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8C" w:rsidRDefault="00254B8C">
      <w:pPr>
        <w:suppressAutoHyphens w:val="0"/>
        <w:spacing w:after="160" w:line="259" w:lineRule="auto"/>
        <w:rPr>
          <w:rFonts w:ascii="Times New Roman" w:hAnsi="Times New Roman" w:cs="Times New Roman"/>
          <w:b/>
          <w:color w:val="000000" w:themeColor="text1"/>
          <w:lang w:val="en-IE"/>
        </w:rPr>
      </w:pPr>
    </w:p>
    <w:tbl>
      <w:tblPr>
        <w:tblStyle w:val="TableGrid"/>
        <w:tblW w:w="9108" w:type="dxa"/>
        <w:tblBorders>
          <w:left w:val="none" w:sz="0" w:space="0" w:color="auto"/>
          <w:bottom w:val="single" w:sz="18" w:space="0" w:color="auto"/>
          <w:right w:val="none" w:sz="0" w:space="0" w:color="auto"/>
          <w:insideH w:val="none" w:sz="0" w:space="0" w:color="auto"/>
          <w:insideV w:val="none" w:sz="0" w:space="0" w:color="auto"/>
        </w:tblBorders>
        <w:tblLayout w:type="fixed"/>
        <w:tblLook w:val="04A0"/>
      </w:tblPr>
      <w:tblGrid>
        <w:gridCol w:w="2093"/>
        <w:gridCol w:w="1701"/>
        <w:gridCol w:w="1714"/>
        <w:gridCol w:w="129"/>
        <w:gridCol w:w="1671"/>
        <w:gridCol w:w="1800"/>
      </w:tblGrid>
      <w:tr w:rsidR="00A83AB5" w:rsidTr="00A839FE">
        <w:trPr>
          <w:trHeight w:val="664"/>
        </w:trPr>
        <w:tc>
          <w:tcPr>
            <w:tcW w:w="2093" w:type="dxa"/>
            <w:tcBorders>
              <w:top w:val="single" w:sz="18" w:space="0" w:color="auto"/>
            </w:tcBorders>
          </w:tcPr>
          <w:p w:rsidR="00A83AB5" w:rsidRDefault="00A83AB5" w:rsidP="00254B8C">
            <w:pPr>
              <w:suppressAutoHyphens w:val="0"/>
              <w:spacing w:after="160" w:line="259" w:lineRule="auto"/>
            </w:pPr>
          </w:p>
        </w:tc>
        <w:tc>
          <w:tcPr>
            <w:tcW w:w="3544" w:type="dxa"/>
            <w:gridSpan w:val="3"/>
            <w:tcBorders>
              <w:top w:val="single" w:sz="18" w:space="0" w:color="auto"/>
              <w:bottom w:val="single" w:sz="12" w:space="0" w:color="auto"/>
            </w:tcBorders>
          </w:tcPr>
          <w:p w:rsidR="00A83AB5" w:rsidRDefault="00A83AB5" w:rsidP="00A839FE">
            <w:pPr>
              <w:jc w:val="center"/>
              <w:rPr>
                <w:rFonts w:ascii="Arial" w:hAnsi="Arial" w:cs="Arial"/>
                <w:b/>
              </w:rPr>
            </w:pPr>
          </w:p>
          <w:p w:rsidR="00A83AB5" w:rsidRPr="00734AFF" w:rsidRDefault="00A83AB5" w:rsidP="00A839FE">
            <w:pPr>
              <w:jc w:val="center"/>
              <w:rPr>
                <w:rFonts w:ascii="Arial" w:hAnsi="Arial" w:cs="Arial"/>
                <w:b/>
              </w:rPr>
            </w:pPr>
            <w:r w:rsidRPr="00734AFF">
              <w:rPr>
                <w:rFonts w:ascii="Arial" w:hAnsi="Arial" w:cs="Arial"/>
                <w:b/>
              </w:rPr>
              <w:t>St. James's Hospital,</w:t>
            </w:r>
            <w:r>
              <w:rPr>
                <w:rFonts w:ascii="Arial" w:hAnsi="Arial" w:cs="Arial"/>
                <w:b/>
              </w:rPr>
              <w:t xml:space="preserve"> </w:t>
            </w:r>
            <w:r w:rsidRPr="00734AFF">
              <w:rPr>
                <w:rFonts w:ascii="Arial" w:hAnsi="Arial" w:cs="Arial"/>
                <w:b/>
              </w:rPr>
              <w:t>Dublin,</w:t>
            </w:r>
            <w:r>
              <w:rPr>
                <w:rFonts w:ascii="Arial" w:hAnsi="Arial" w:cs="Arial"/>
                <w:b/>
              </w:rPr>
              <w:t xml:space="preserve"> </w:t>
            </w:r>
            <w:r w:rsidRPr="00734AFF">
              <w:rPr>
                <w:rFonts w:ascii="Arial" w:hAnsi="Arial" w:cs="Arial"/>
                <w:b/>
              </w:rPr>
              <w:t>Ireland</w:t>
            </w:r>
          </w:p>
        </w:tc>
        <w:tc>
          <w:tcPr>
            <w:tcW w:w="3471" w:type="dxa"/>
            <w:gridSpan w:val="2"/>
            <w:tcBorders>
              <w:top w:val="single" w:sz="18" w:space="0" w:color="auto"/>
              <w:bottom w:val="single" w:sz="12" w:space="0" w:color="auto"/>
            </w:tcBorders>
          </w:tcPr>
          <w:p w:rsidR="00A83AB5" w:rsidRDefault="00A83AB5" w:rsidP="00A839FE">
            <w:pPr>
              <w:jc w:val="center"/>
              <w:rPr>
                <w:rFonts w:ascii="Arial" w:hAnsi="Arial" w:cs="Arial"/>
                <w:b/>
              </w:rPr>
            </w:pPr>
          </w:p>
          <w:p w:rsidR="00A83AB5" w:rsidRPr="00734AFF" w:rsidRDefault="00A83AB5" w:rsidP="00A839FE">
            <w:pPr>
              <w:jc w:val="center"/>
              <w:rPr>
                <w:rFonts w:ascii="Arial" w:hAnsi="Arial" w:cs="Arial"/>
                <w:b/>
              </w:rPr>
            </w:pPr>
            <w:r w:rsidRPr="00734AFF">
              <w:rPr>
                <w:rFonts w:ascii="Arial" w:hAnsi="Arial" w:cs="Arial"/>
                <w:b/>
              </w:rPr>
              <w:t>Mercy University Hospital, Cork, Ireland</w:t>
            </w:r>
          </w:p>
        </w:tc>
      </w:tr>
      <w:tr w:rsidR="00A83AB5" w:rsidRPr="00CE0C3C" w:rsidTr="00A839FE">
        <w:trPr>
          <w:trHeight w:val="831"/>
        </w:trPr>
        <w:tc>
          <w:tcPr>
            <w:tcW w:w="2093" w:type="dxa"/>
          </w:tcPr>
          <w:p w:rsidR="00A83AB5" w:rsidRPr="00CE0C3C" w:rsidRDefault="00A83AB5" w:rsidP="00A839FE"/>
        </w:tc>
        <w:tc>
          <w:tcPr>
            <w:tcW w:w="1701" w:type="dxa"/>
            <w:tcBorders>
              <w:top w:val="single" w:sz="12" w:space="0" w:color="auto"/>
              <w:bottom w:val="single" w:sz="12" w:space="0" w:color="auto"/>
            </w:tcBorders>
          </w:tcPr>
          <w:p w:rsidR="00A83AB5" w:rsidRPr="00A43ECD" w:rsidRDefault="00A83AB5" w:rsidP="00A839FE">
            <w:pPr>
              <w:jc w:val="center"/>
              <w:rPr>
                <w:rFonts w:ascii="Arial" w:hAnsi="Arial" w:cs="Arial"/>
                <w:b/>
                <w:iCs/>
                <w:sz w:val="20"/>
                <w:szCs w:val="20"/>
                <w:lang w:eastAsia="en-GB"/>
              </w:rPr>
            </w:pPr>
            <w:r w:rsidRPr="00A43ECD">
              <w:rPr>
                <w:rFonts w:ascii="Arial" w:hAnsi="Arial" w:cs="Arial"/>
                <w:b/>
                <w:iCs/>
                <w:sz w:val="20"/>
                <w:szCs w:val="20"/>
                <w:lang w:eastAsia="en-GB"/>
              </w:rPr>
              <w:t>Group 1 patients</w:t>
            </w:r>
          </w:p>
          <w:p w:rsidR="00A83AB5" w:rsidRPr="00CE0C3C" w:rsidRDefault="00A83AB5" w:rsidP="00A839FE">
            <w:pPr>
              <w:jc w:val="center"/>
              <w:rPr>
                <w:rFonts w:ascii="Arial" w:hAnsi="Arial" w:cs="Arial"/>
                <w:b/>
                <w:iCs/>
                <w:lang w:eastAsia="en-GB"/>
              </w:rPr>
            </w:pPr>
            <w:r w:rsidRPr="00A43ECD">
              <w:rPr>
                <w:rFonts w:ascii="Arial" w:hAnsi="Arial" w:cs="Arial"/>
                <w:b/>
                <w:iCs/>
                <w:sz w:val="20"/>
                <w:szCs w:val="20"/>
                <w:lang w:eastAsia="en-GB"/>
              </w:rPr>
              <w:t>(</w:t>
            </w:r>
            <w:proofErr w:type="spellStart"/>
            <w:r>
              <w:rPr>
                <w:rFonts w:ascii="Arial" w:hAnsi="Arial" w:cs="Arial"/>
                <w:b/>
                <w:sz w:val="20"/>
                <w:szCs w:val="20"/>
                <w:lang w:eastAsia="en-GB"/>
              </w:rPr>
              <w:t>neoadjuvant</w:t>
            </w:r>
            <w:proofErr w:type="spellEnd"/>
            <w:r w:rsidRPr="00A43ECD">
              <w:rPr>
                <w:rFonts w:ascii="Arial" w:hAnsi="Arial" w:cs="Arial"/>
                <w:b/>
                <w:sz w:val="20"/>
                <w:szCs w:val="20"/>
                <w:lang w:eastAsia="en-GB"/>
              </w:rPr>
              <w:t>-naïve</w:t>
            </w:r>
            <w:r w:rsidRPr="00A43ECD">
              <w:rPr>
                <w:rFonts w:ascii="Arial" w:hAnsi="Arial" w:cs="Arial"/>
                <w:b/>
                <w:iCs/>
                <w:sz w:val="20"/>
                <w:szCs w:val="20"/>
                <w:lang w:eastAsia="en-GB"/>
              </w:rPr>
              <w:t>)</w:t>
            </w:r>
          </w:p>
        </w:tc>
        <w:tc>
          <w:tcPr>
            <w:tcW w:w="1843" w:type="dxa"/>
            <w:gridSpan w:val="2"/>
            <w:tcBorders>
              <w:top w:val="single" w:sz="12" w:space="0" w:color="auto"/>
              <w:bottom w:val="single" w:sz="12" w:space="0" w:color="auto"/>
            </w:tcBorders>
          </w:tcPr>
          <w:p w:rsidR="00A83AB5" w:rsidRPr="00A43ECD" w:rsidRDefault="00A83AB5" w:rsidP="00A839FE">
            <w:pPr>
              <w:jc w:val="center"/>
              <w:rPr>
                <w:rFonts w:ascii="Arial" w:hAnsi="Arial" w:cs="Arial"/>
                <w:b/>
                <w:iCs/>
                <w:sz w:val="20"/>
                <w:szCs w:val="20"/>
                <w:lang w:eastAsia="en-GB"/>
              </w:rPr>
            </w:pPr>
            <w:r w:rsidRPr="00A43ECD">
              <w:rPr>
                <w:rFonts w:ascii="Arial" w:hAnsi="Arial" w:cs="Arial"/>
                <w:b/>
                <w:iCs/>
                <w:sz w:val="20"/>
                <w:szCs w:val="20"/>
                <w:lang w:eastAsia="en-GB"/>
              </w:rPr>
              <w:t>G</w:t>
            </w:r>
            <w:r>
              <w:rPr>
                <w:rFonts w:ascii="Arial" w:hAnsi="Arial" w:cs="Arial"/>
                <w:b/>
                <w:iCs/>
                <w:sz w:val="20"/>
                <w:szCs w:val="20"/>
                <w:lang w:eastAsia="en-GB"/>
              </w:rPr>
              <w:t>roup 2 (</w:t>
            </w:r>
            <w:proofErr w:type="spellStart"/>
            <w:r>
              <w:rPr>
                <w:rFonts w:ascii="Arial" w:hAnsi="Arial" w:cs="Arial"/>
                <w:b/>
                <w:iCs/>
                <w:sz w:val="20"/>
                <w:szCs w:val="20"/>
                <w:lang w:eastAsia="en-GB"/>
              </w:rPr>
              <w:t>neo</w:t>
            </w:r>
            <w:r w:rsidRPr="00A43ECD">
              <w:rPr>
                <w:rFonts w:ascii="Arial" w:hAnsi="Arial" w:cs="Arial"/>
                <w:b/>
                <w:iCs/>
                <w:sz w:val="20"/>
                <w:szCs w:val="20"/>
                <w:lang w:eastAsia="en-GB"/>
              </w:rPr>
              <w:t>adjuvant</w:t>
            </w:r>
            <w:proofErr w:type="spellEnd"/>
            <w:r w:rsidRPr="00A43ECD">
              <w:rPr>
                <w:rFonts w:ascii="Arial" w:hAnsi="Arial" w:cs="Arial"/>
                <w:b/>
                <w:iCs/>
                <w:sz w:val="20"/>
                <w:szCs w:val="20"/>
                <w:lang w:eastAsia="en-GB"/>
              </w:rPr>
              <w:t xml:space="preserve"> therapy)</w:t>
            </w:r>
          </w:p>
        </w:tc>
        <w:tc>
          <w:tcPr>
            <w:tcW w:w="1671" w:type="dxa"/>
            <w:tcBorders>
              <w:top w:val="single" w:sz="12" w:space="0" w:color="auto"/>
              <w:bottom w:val="single" w:sz="12" w:space="0" w:color="auto"/>
            </w:tcBorders>
          </w:tcPr>
          <w:p w:rsidR="00A83AB5" w:rsidRPr="00A43ECD" w:rsidRDefault="00A83AB5" w:rsidP="00A839FE">
            <w:pPr>
              <w:jc w:val="center"/>
              <w:rPr>
                <w:rFonts w:ascii="Arial" w:hAnsi="Arial" w:cs="Arial"/>
                <w:b/>
                <w:iCs/>
                <w:sz w:val="20"/>
                <w:szCs w:val="20"/>
                <w:lang w:eastAsia="en-GB"/>
              </w:rPr>
            </w:pPr>
            <w:r w:rsidRPr="00A43ECD">
              <w:rPr>
                <w:rFonts w:ascii="Arial" w:hAnsi="Arial" w:cs="Arial"/>
                <w:b/>
                <w:iCs/>
                <w:sz w:val="20"/>
                <w:szCs w:val="20"/>
                <w:lang w:eastAsia="en-GB"/>
              </w:rPr>
              <w:t>Group 1 patients</w:t>
            </w:r>
          </w:p>
          <w:p w:rsidR="00A83AB5" w:rsidRPr="00CE0C3C" w:rsidRDefault="00A83AB5" w:rsidP="00A839FE">
            <w:pPr>
              <w:jc w:val="center"/>
              <w:rPr>
                <w:rFonts w:ascii="Arial" w:hAnsi="Arial" w:cs="Arial"/>
                <w:b/>
                <w:iCs/>
                <w:lang w:eastAsia="en-GB"/>
              </w:rPr>
            </w:pPr>
            <w:r w:rsidRPr="00A43ECD">
              <w:rPr>
                <w:rFonts w:ascii="Arial" w:hAnsi="Arial" w:cs="Arial"/>
                <w:b/>
                <w:iCs/>
                <w:sz w:val="20"/>
                <w:szCs w:val="20"/>
                <w:lang w:eastAsia="en-GB"/>
              </w:rPr>
              <w:t>(</w:t>
            </w:r>
            <w:proofErr w:type="spellStart"/>
            <w:r>
              <w:rPr>
                <w:rFonts w:ascii="Arial" w:hAnsi="Arial" w:cs="Arial"/>
                <w:b/>
                <w:sz w:val="20"/>
                <w:szCs w:val="20"/>
                <w:lang w:eastAsia="en-GB"/>
              </w:rPr>
              <w:t>neoadjuvant</w:t>
            </w:r>
            <w:proofErr w:type="spellEnd"/>
            <w:r w:rsidRPr="00A43ECD">
              <w:rPr>
                <w:rFonts w:ascii="Arial" w:hAnsi="Arial" w:cs="Arial"/>
                <w:b/>
                <w:sz w:val="20"/>
                <w:szCs w:val="20"/>
                <w:lang w:eastAsia="en-GB"/>
              </w:rPr>
              <w:t>-naïve</w:t>
            </w:r>
            <w:r w:rsidRPr="00A43ECD">
              <w:rPr>
                <w:rFonts w:ascii="Arial" w:hAnsi="Arial" w:cs="Arial"/>
                <w:b/>
                <w:iCs/>
                <w:sz w:val="20"/>
                <w:szCs w:val="20"/>
                <w:lang w:eastAsia="en-GB"/>
              </w:rPr>
              <w:t>)</w:t>
            </w:r>
          </w:p>
        </w:tc>
        <w:tc>
          <w:tcPr>
            <w:tcW w:w="1800" w:type="dxa"/>
            <w:tcBorders>
              <w:top w:val="single" w:sz="12" w:space="0" w:color="auto"/>
              <w:bottom w:val="single" w:sz="12" w:space="0" w:color="auto"/>
            </w:tcBorders>
          </w:tcPr>
          <w:p w:rsidR="00A83AB5" w:rsidRPr="00A43ECD" w:rsidRDefault="00A83AB5" w:rsidP="00A839FE">
            <w:pPr>
              <w:jc w:val="center"/>
              <w:rPr>
                <w:rFonts w:ascii="Arial" w:hAnsi="Arial" w:cs="Arial"/>
                <w:b/>
                <w:iCs/>
                <w:sz w:val="20"/>
                <w:szCs w:val="20"/>
                <w:lang w:eastAsia="en-GB"/>
              </w:rPr>
            </w:pPr>
            <w:r>
              <w:rPr>
                <w:rFonts w:ascii="Arial" w:hAnsi="Arial" w:cs="Arial"/>
                <w:b/>
                <w:iCs/>
                <w:sz w:val="20"/>
                <w:szCs w:val="20"/>
                <w:lang w:eastAsia="en-GB"/>
              </w:rPr>
              <w:t>Group 2 (</w:t>
            </w:r>
            <w:proofErr w:type="spellStart"/>
            <w:r>
              <w:rPr>
                <w:rFonts w:ascii="Arial" w:hAnsi="Arial" w:cs="Arial"/>
                <w:b/>
                <w:iCs/>
                <w:sz w:val="20"/>
                <w:szCs w:val="20"/>
                <w:lang w:eastAsia="en-GB"/>
              </w:rPr>
              <w:t>neo</w:t>
            </w:r>
            <w:r w:rsidRPr="00A43ECD">
              <w:rPr>
                <w:rFonts w:ascii="Arial" w:hAnsi="Arial" w:cs="Arial"/>
                <w:b/>
                <w:iCs/>
                <w:sz w:val="20"/>
                <w:szCs w:val="20"/>
                <w:lang w:eastAsia="en-GB"/>
              </w:rPr>
              <w:t>adjuvant</w:t>
            </w:r>
            <w:proofErr w:type="spellEnd"/>
            <w:r w:rsidRPr="00A43ECD">
              <w:rPr>
                <w:rFonts w:ascii="Arial" w:hAnsi="Arial" w:cs="Arial"/>
                <w:b/>
                <w:iCs/>
                <w:sz w:val="20"/>
                <w:szCs w:val="20"/>
                <w:lang w:eastAsia="en-GB"/>
              </w:rPr>
              <w:t xml:space="preserve"> </w:t>
            </w:r>
            <w:r>
              <w:rPr>
                <w:rFonts w:ascii="Arial" w:hAnsi="Arial" w:cs="Arial"/>
                <w:b/>
                <w:iCs/>
                <w:sz w:val="20"/>
                <w:szCs w:val="20"/>
                <w:lang w:eastAsia="en-GB"/>
              </w:rPr>
              <w:t>t</w:t>
            </w:r>
            <w:r w:rsidRPr="00A43ECD">
              <w:rPr>
                <w:rFonts w:ascii="Arial" w:hAnsi="Arial" w:cs="Arial"/>
                <w:b/>
                <w:iCs/>
                <w:sz w:val="20"/>
                <w:szCs w:val="20"/>
                <w:lang w:eastAsia="en-GB"/>
              </w:rPr>
              <w:t>herapy)</w:t>
            </w:r>
          </w:p>
        </w:tc>
      </w:tr>
      <w:tr w:rsidR="00A83AB5" w:rsidTr="00A839FE">
        <w:tc>
          <w:tcPr>
            <w:tcW w:w="9108" w:type="dxa"/>
            <w:gridSpan w:val="6"/>
            <w:vAlign w:val="center"/>
          </w:tcPr>
          <w:p w:rsidR="00A83AB5" w:rsidRPr="00E07C1C" w:rsidRDefault="00E07C1C" w:rsidP="00A839FE">
            <w:pPr>
              <w:ind w:left="459"/>
            </w:pPr>
            <w:r>
              <w:rPr>
                <w:rFonts w:ascii="Arial" w:hAnsi="Arial" w:cs="Arial"/>
                <w:b/>
              </w:rPr>
              <w:t xml:space="preserve"> </w:t>
            </w:r>
            <w:r w:rsidR="00A83AB5" w:rsidRPr="00E07C1C">
              <w:rPr>
                <w:rFonts w:ascii="Arial" w:hAnsi="Arial" w:cs="Arial"/>
                <w:b/>
              </w:rPr>
              <w:t>Gender</w:t>
            </w:r>
          </w:p>
        </w:tc>
      </w:tr>
      <w:tr w:rsidR="00A83AB5" w:rsidTr="00A839FE">
        <w:trPr>
          <w:trHeight w:val="296"/>
        </w:trPr>
        <w:tc>
          <w:tcPr>
            <w:tcW w:w="2093" w:type="dxa"/>
          </w:tcPr>
          <w:p w:rsidR="00A83AB5" w:rsidRPr="00A43ECD" w:rsidRDefault="00A83AB5" w:rsidP="00A839FE">
            <w:pPr>
              <w:spacing w:before="120"/>
              <w:jc w:val="center"/>
              <w:rPr>
                <w:rFonts w:ascii="Arial" w:hAnsi="Arial" w:cs="Arial"/>
                <w:sz w:val="20"/>
                <w:szCs w:val="20"/>
              </w:rPr>
            </w:pPr>
            <w:r w:rsidRPr="00A43ECD">
              <w:rPr>
                <w:rFonts w:ascii="Arial" w:hAnsi="Arial" w:cs="Arial"/>
                <w:sz w:val="20"/>
                <w:szCs w:val="20"/>
              </w:rPr>
              <w:t>Male</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69  (</w:t>
            </w:r>
            <w:proofErr w:type="gramEnd"/>
            <w:r w:rsidRPr="003E20D6">
              <w:rPr>
                <w:rFonts w:ascii="Arial" w:hAnsi="Arial" w:cs="Arial"/>
                <w:sz w:val="18"/>
                <w:szCs w:val="18"/>
              </w:rPr>
              <w:t>82.1</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14  (</w:t>
            </w:r>
            <w:proofErr w:type="gramEnd"/>
            <w:r w:rsidRPr="003E20D6">
              <w:rPr>
                <w:rFonts w:ascii="Arial" w:hAnsi="Arial" w:cs="Arial"/>
                <w:sz w:val="18"/>
                <w:szCs w:val="18"/>
              </w:rPr>
              <w:t>77.8</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14  (</w:t>
            </w:r>
            <w:proofErr w:type="gramEnd"/>
            <w:r w:rsidRPr="003E20D6">
              <w:rPr>
                <w:rFonts w:ascii="Arial" w:hAnsi="Arial" w:cs="Arial"/>
                <w:sz w:val="18"/>
                <w:szCs w:val="18"/>
              </w:rPr>
              <w:t>70.0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24  (</w:t>
            </w:r>
            <w:proofErr w:type="gramEnd"/>
            <w:r w:rsidRPr="003E20D6">
              <w:rPr>
                <w:rFonts w:ascii="Arial" w:hAnsi="Arial" w:cs="Arial"/>
                <w:sz w:val="18"/>
                <w:szCs w:val="18"/>
              </w:rPr>
              <w:t>80.0</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after="100" w:afterAutospacing="1"/>
              <w:jc w:val="center"/>
              <w:rPr>
                <w:rFonts w:ascii="Arial" w:hAnsi="Arial" w:cs="Arial"/>
                <w:sz w:val="20"/>
                <w:szCs w:val="20"/>
              </w:rPr>
            </w:pPr>
            <w:r w:rsidRPr="00A43ECD">
              <w:rPr>
                <w:rFonts w:ascii="Arial" w:hAnsi="Arial" w:cs="Arial"/>
                <w:sz w:val="20"/>
                <w:szCs w:val="20"/>
              </w:rPr>
              <w:t>Female</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15  (</w:t>
            </w:r>
            <w:proofErr w:type="gramEnd"/>
            <w:r w:rsidRPr="003E20D6">
              <w:rPr>
                <w:rFonts w:ascii="Arial" w:hAnsi="Arial" w:cs="Arial"/>
                <w:sz w:val="18"/>
                <w:szCs w:val="18"/>
              </w:rPr>
              <w:t>17.9</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4  (</w:t>
            </w:r>
            <w:proofErr w:type="gramEnd"/>
            <w:r w:rsidRPr="003E20D6">
              <w:rPr>
                <w:rFonts w:ascii="Arial" w:hAnsi="Arial" w:cs="Arial"/>
                <w:sz w:val="18"/>
                <w:szCs w:val="18"/>
              </w:rPr>
              <w:t>22.2</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6  (</w:t>
            </w:r>
            <w:proofErr w:type="gramEnd"/>
            <w:r w:rsidRPr="003E20D6">
              <w:rPr>
                <w:rFonts w:ascii="Arial" w:hAnsi="Arial" w:cs="Arial"/>
                <w:sz w:val="18"/>
                <w:szCs w:val="18"/>
              </w:rPr>
              <w:t>30.0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6  (</w:t>
            </w:r>
            <w:proofErr w:type="gramEnd"/>
            <w:r w:rsidRPr="003E20D6">
              <w:rPr>
                <w:rFonts w:ascii="Arial" w:hAnsi="Arial" w:cs="Arial"/>
                <w:sz w:val="18"/>
                <w:szCs w:val="18"/>
              </w:rPr>
              <w:t>20.0</w:t>
            </w:r>
            <w:r>
              <w:rPr>
                <w:rFonts w:ascii="Arial" w:hAnsi="Arial" w:cs="Arial"/>
                <w:sz w:val="18"/>
                <w:szCs w:val="18"/>
              </w:rPr>
              <w:t>%</w:t>
            </w:r>
            <w:r w:rsidRPr="003E20D6">
              <w:rPr>
                <w:rFonts w:ascii="Arial" w:hAnsi="Arial" w:cs="Arial"/>
                <w:sz w:val="18"/>
                <w:szCs w:val="18"/>
              </w:rPr>
              <w:t>)</w:t>
            </w:r>
          </w:p>
        </w:tc>
      </w:tr>
      <w:tr w:rsidR="00A83AB5" w:rsidTr="00A839FE">
        <w:trPr>
          <w:trHeight w:val="153"/>
        </w:trPr>
        <w:tc>
          <w:tcPr>
            <w:tcW w:w="9108" w:type="dxa"/>
            <w:gridSpan w:val="6"/>
          </w:tcPr>
          <w:p w:rsidR="00A83AB5" w:rsidRPr="00E07C1C" w:rsidRDefault="00A83AB5" w:rsidP="00A839FE">
            <w:pPr>
              <w:ind w:left="743"/>
              <w:rPr>
                <w:b/>
              </w:rPr>
            </w:pPr>
            <w:r w:rsidRPr="00E07C1C">
              <w:rPr>
                <w:rFonts w:ascii="Arial" w:hAnsi="Arial" w:cs="Arial"/>
                <w:b/>
              </w:rPr>
              <w:t>Age</w:t>
            </w:r>
          </w:p>
        </w:tc>
      </w:tr>
      <w:tr w:rsidR="00A83AB5" w:rsidTr="00A839FE">
        <w:tc>
          <w:tcPr>
            <w:tcW w:w="2093" w:type="dxa"/>
          </w:tcPr>
          <w:p w:rsidR="00A83AB5" w:rsidRPr="00A43ECD" w:rsidRDefault="00A83AB5" w:rsidP="00A839FE">
            <w:pPr>
              <w:spacing w:before="120"/>
              <w:jc w:val="center"/>
              <w:rPr>
                <w:rFonts w:ascii="Arial" w:hAnsi="Arial" w:cs="Arial"/>
                <w:sz w:val="20"/>
                <w:szCs w:val="20"/>
              </w:rPr>
            </w:pPr>
            <w:r w:rsidRPr="00A43ECD">
              <w:rPr>
                <w:rFonts w:ascii="Arial" w:hAnsi="Arial" w:cs="Arial"/>
                <w:bCs/>
                <w:sz w:val="20"/>
                <w:szCs w:val="20"/>
              </w:rPr>
              <w:t>&lt; 60 years old</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20  (</w:t>
            </w:r>
            <w:proofErr w:type="gramEnd"/>
            <w:r w:rsidRPr="003E20D6">
              <w:rPr>
                <w:rFonts w:ascii="Arial" w:hAnsi="Arial" w:cs="Arial"/>
                <w:sz w:val="18"/>
                <w:szCs w:val="18"/>
              </w:rPr>
              <w:t>23.8</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8  (</w:t>
            </w:r>
            <w:proofErr w:type="gramEnd"/>
            <w:r w:rsidRPr="003E20D6">
              <w:rPr>
                <w:rFonts w:ascii="Arial" w:hAnsi="Arial" w:cs="Arial"/>
                <w:sz w:val="18"/>
                <w:szCs w:val="18"/>
              </w:rPr>
              <w:t>44.4</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4  (</w:t>
            </w:r>
            <w:proofErr w:type="gramEnd"/>
            <w:r w:rsidRPr="003E20D6">
              <w:rPr>
                <w:rFonts w:ascii="Arial" w:hAnsi="Arial" w:cs="Arial"/>
                <w:sz w:val="18"/>
                <w:szCs w:val="18"/>
              </w:rPr>
              <w:t>20.0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11  (</w:t>
            </w:r>
            <w:proofErr w:type="gramEnd"/>
            <w:r w:rsidRPr="003E20D6">
              <w:rPr>
                <w:rFonts w:ascii="Arial" w:hAnsi="Arial" w:cs="Arial"/>
                <w:sz w:val="18"/>
                <w:szCs w:val="18"/>
              </w:rPr>
              <w:t>36.7</w:t>
            </w:r>
            <w:r>
              <w:rPr>
                <w:rFonts w:ascii="Arial" w:hAnsi="Arial" w:cs="Arial"/>
                <w:sz w:val="18"/>
                <w:szCs w:val="18"/>
              </w:rPr>
              <w:t>%</w:t>
            </w:r>
            <w:r w:rsidRPr="003E20D6">
              <w:rPr>
                <w:rFonts w:ascii="Arial" w:hAnsi="Arial" w:cs="Arial"/>
                <w:sz w:val="18"/>
                <w:szCs w:val="18"/>
              </w:rPr>
              <w:t>)</w:t>
            </w:r>
          </w:p>
        </w:tc>
      </w:tr>
      <w:tr w:rsidR="00A83AB5" w:rsidTr="00A839FE">
        <w:trPr>
          <w:trHeight w:val="517"/>
        </w:trPr>
        <w:tc>
          <w:tcPr>
            <w:tcW w:w="2093" w:type="dxa"/>
          </w:tcPr>
          <w:p w:rsidR="00A83AB5" w:rsidRPr="00A43ECD" w:rsidRDefault="00A83AB5" w:rsidP="00A839FE">
            <w:pPr>
              <w:spacing w:before="120"/>
              <w:jc w:val="center"/>
              <w:rPr>
                <w:rFonts w:ascii="Arial" w:hAnsi="Arial" w:cs="Arial"/>
                <w:sz w:val="20"/>
                <w:szCs w:val="20"/>
              </w:rPr>
            </w:pPr>
            <w:r w:rsidRPr="00A43ECD">
              <w:rPr>
                <w:rFonts w:ascii="Arial" w:hAnsi="Arial" w:cs="Arial"/>
                <w:bCs/>
                <w:sz w:val="20"/>
                <w:szCs w:val="20"/>
              </w:rPr>
              <w:t>&gt; 60 years old</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64  (</w:t>
            </w:r>
            <w:proofErr w:type="gramEnd"/>
            <w:r w:rsidRPr="003E20D6">
              <w:rPr>
                <w:rFonts w:ascii="Arial" w:hAnsi="Arial" w:cs="Arial"/>
                <w:sz w:val="18"/>
                <w:szCs w:val="18"/>
              </w:rPr>
              <w:t>76.2</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10  (</w:t>
            </w:r>
            <w:proofErr w:type="gramEnd"/>
            <w:r w:rsidRPr="003E20D6">
              <w:rPr>
                <w:rFonts w:ascii="Arial" w:hAnsi="Arial" w:cs="Arial"/>
                <w:sz w:val="18"/>
                <w:szCs w:val="18"/>
              </w:rPr>
              <w:t>55.6</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16  (</w:t>
            </w:r>
            <w:proofErr w:type="gramEnd"/>
            <w:r w:rsidRPr="003E20D6">
              <w:rPr>
                <w:rFonts w:ascii="Arial" w:hAnsi="Arial" w:cs="Arial"/>
                <w:sz w:val="18"/>
                <w:szCs w:val="18"/>
              </w:rPr>
              <w:t>80.0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19  (</w:t>
            </w:r>
            <w:proofErr w:type="gramEnd"/>
            <w:r w:rsidRPr="003E20D6">
              <w:rPr>
                <w:rFonts w:ascii="Arial" w:hAnsi="Arial" w:cs="Arial"/>
                <w:sz w:val="18"/>
                <w:szCs w:val="18"/>
              </w:rPr>
              <w:t>63.3</w:t>
            </w:r>
            <w:r>
              <w:rPr>
                <w:rFonts w:ascii="Arial" w:hAnsi="Arial" w:cs="Arial"/>
                <w:sz w:val="18"/>
                <w:szCs w:val="18"/>
              </w:rPr>
              <w:t>%</w:t>
            </w:r>
            <w:r w:rsidRPr="003E20D6">
              <w:rPr>
                <w:rFonts w:ascii="Arial" w:hAnsi="Arial" w:cs="Arial"/>
                <w:sz w:val="18"/>
                <w:szCs w:val="18"/>
              </w:rPr>
              <w:t>)</w:t>
            </w:r>
          </w:p>
        </w:tc>
      </w:tr>
      <w:tr w:rsidR="00A83AB5" w:rsidTr="00A839FE">
        <w:tc>
          <w:tcPr>
            <w:tcW w:w="9108" w:type="dxa"/>
            <w:gridSpan w:val="6"/>
            <w:vAlign w:val="center"/>
          </w:tcPr>
          <w:p w:rsidR="00A83AB5" w:rsidRPr="00E07C1C" w:rsidRDefault="00A83AB5" w:rsidP="00A839FE">
            <w:pPr>
              <w:ind w:left="176"/>
              <w:rPr>
                <w:b/>
              </w:rPr>
            </w:pPr>
            <w:r w:rsidRPr="00E07C1C">
              <w:rPr>
                <w:rFonts w:ascii="Arial" w:hAnsi="Arial" w:cs="Arial"/>
                <w:b/>
              </w:rPr>
              <w:t>Differentiation</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Well</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9  (</w:t>
            </w:r>
            <w:proofErr w:type="gramEnd"/>
            <w:r w:rsidRPr="003E20D6">
              <w:rPr>
                <w:rFonts w:ascii="Arial" w:hAnsi="Arial" w:cs="Arial"/>
                <w:sz w:val="18"/>
                <w:szCs w:val="18"/>
              </w:rPr>
              <w:t>10.7</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0  (</w:t>
            </w:r>
            <w:proofErr w:type="gramEnd"/>
            <w:r w:rsidRPr="003E20D6">
              <w:rPr>
                <w:rFonts w:ascii="Arial" w:hAnsi="Arial" w:cs="Arial"/>
                <w:sz w:val="18"/>
                <w:szCs w:val="18"/>
              </w:rPr>
              <w:t>0</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  (</w:t>
            </w:r>
            <w:proofErr w:type="gramEnd"/>
            <w:r w:rsidRPr="003E20D6">
              <w:rPr>
                <w:rFonts w:ascii="Arial" w:hAnsi="Arial" w:cs="Arial"/>
                <w:sz w:val="18"/>
                <w:szCs w:val="18"/>
              </w:rPr>
              <w:t>10.0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  (</w:t>
            </w:r>
            <w:proofErr w:type="gramEnd"/>
            <w:r w:rsidRPr="003E20D6">
              <w:rPr>
                <w:rFonts w:ascii="Arial" w:hAnsi="Arial" w:cs="Arial"/>
                <w:sz w:val="18"/>
                <w:szCs w:val="18"/>
              </w:rPr>
              <w:t>3.3</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Moderate</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46  (</w:t>
            </w:r>
            <w:proofErr w:type="gramEnd"/>
            <w:r w:rsidRPr="003E20D6">
              <w:rPr>
                <w:rFonts w:ascii="Arial" w:hAnsi="Arial" w:cs="Arial"/>
                <w:sz w:val="18"/>
                <w:szCs w:val="18"/>
              </w:rPr>
              <w:t>54.8</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9  (</w:t>
            </w:r>
            <w:proofErr w:type="gramEnd"/>
            <w:r w:rsidRPr="003E20D6">
              <w:rPr>
                <w:rFonts w:ascii="Arial" w:hAnsi="Arial" w:cs="Arial"/>
                <w:sz w:val="18"/>
                <w:szCs w:val="18"/>
              </w:rPr>
              <w:t>50.0</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10  (</w:t>
            </w:r>
            <w:proofErr w:type="gramEnd"/>
            <w:r w:rsidRPr="003E20D6">
              <w:rPr>
                <w:rFonts w:ascii="Arial" w:hAnsi="Arial" w:cs="Arial"/>
                <w:sz w:val="18"/>
                <w:szCs w:val="18"/>
              </w:rPr>
              <w:t>50.0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20  (</w:t>
            </w:r>
            <w:proofErr w:type="gramEnd"/>
            <w:r w:rsidRPr="003E20D6">
              <w:rPr>
                <w:rFonts w:ascii="Arial" w:hAnsi="Arial" w:cs="Arial"/>
                <w:sz w:val="18"/>
                <w:szCs w:val="18"/>
              </w:rPr>
              <w:t>66.7</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Poor</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29  (</w:t>
            </w:r>
            <w:proofErr w:type="gramEnd"/>
            <w:r w:rsidRPr="003E20D6">
              <w:rPr>
                <w:rFonts w:ascii="Arial" w:hAnsi="Arial" w:cs="Arial"/>
                <w:sz w:val="18"/>
                <w:szCs w:val="18"/>
              </w:rPr>
              <w:t>34.5</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9  (</w:t>
            </w:r>
            <w:proofErr w:type="gramEnd"/>
            <w:r w:rsidRPr="003E20D6">
              <w:rPr>
                <w:rFonts w:ascii="Arial" w:hAnsi="Arial" w:cs="Arial"/>
                <w:sz w:val="18"/>
                <w:szCs w:val="18"/>
              </w:rPr>
              <w:t>50.0</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8  (</w:t>
            </w:r>
            <w:proofErr w:type="gramEnd"/>
            <w:r w:rsidRPr="003E20D6">
              <w:rPr>
                <w:rFonts w:ascii="Arial" w:hAnsi="Arial" w:cs="Arial"/>
                <w:sz w:val="18"/>
                <w:szCs w:val="18"/>
              </w:rPr>
              <w:t>40.0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9  (</w:t>
            </w:r>
            <w:proofErr w:type="gramEnd"/>
            <w:r w:rsidRPr="003E20D6">
              <w:rPr>
                <w:rFonts w:ascii="Arial" w:hAnsi="Arial" w:cs="Arial"/>
                <w:sz w:val="18"/>
                <w:szCs w:val="18"/>
              </w:rPr>
              <w:t>30.0</w:t>
            </w:r>
            <w:r>
              <w:rPr>
                <w:rFonts w:ascii="Arial" w:hAnsi="Arial" w:cs="Arial"/>
                <w:sz w:val="18"/>
                <w:szCs w:val="18"/>
              </w:rPr>
              <w:t>%</w:t>
            </w:r>
            <w:r w:rsidRPr="003E20D6">
              <w:rPr>
                <w:rFonts w:ascii="Arial" w:hAnsi="Arial" w:cs="Arial"/>
                <w:sz w:val="18"/>
                <w:szCs w:val="18"/>
              </w:rPr>
              <w:t>)</w:t>
            </w:r>
          </w:p>
        </w:tc>
      </w:tr>
      <w:tr w:rsidR="00A83AB5" w:rsidTr="00A839FE">
        <w:tc>
          <w:tcPr>
            <w:tcW w:w="9108" w:type="dxa"/>
            <w:gridSpan w:val="6"/>
          </w:tcPr>
          <w:p w:rsidR="00A83AB5" w:rsidRPr="00E07C1C" w:rsidRDefault="00A83AB5" w:rsidP="00A839FE">
            <w:pPr>
              <w:ind w:left="176"/>
              <w:rPr>
                <w:b/>
              </w:rPr>
            </w:pPr>
            <w:proofErr w:type="spellStart"/>
            <w:r w:rsidRPr="00E07C1C">
              <w:rPr>
                <w:rFonts w:ascii="Arial" w:hAnsi="Arial" w:cs="Arial"/>
                <w:b/>
              </w:rPr>
              <w:t>Tum</w:t>
            </w:r>
            <w:bookmarkStart w:id="0" w:name="_GoBack"/>
            <w:bookmarkEnd w:id="0"/>
            <w:r w:rsidRPr="00E07C1C">
              <w:rPr>
                <w:rFonts w:ascii="Arial" w:hAnsi="Arial" w:cs="Arial"/>
                <w:b/>
              </w:rPr>
              <w:t>or</w:t>
            </w:r>
            <w:proofErr w:type="spellEnd"/>
            <w:r w:rsidRPr="00E07C1C">
              <w:rPr>
                <w:rFonts w:ascii="Arial" w:hAnsi="Arial" w:cs="Arial"/>
                <w:b/>
              </w:rPr>
              <w:t xml:space="preserve"> staging</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Stage I</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14  (</w:t>
            </w:r>
            <w:proofErr w:type="gramEnd"/>
            <w:r w:rsidRPr="003E20D6">
              <w:rPr>
                <w:rFonts w:ascii="Arial" w:hAnsi="Arial" w:cs="Arial"/>
                <w:sz w:val="18"/>
                <w:szCs w:val="18"/>
              </w:rPr>
              <w:t>16.7</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  (</w:t>
            </w:r>
            <w:proofErr w:type="gramEnd"/>
            <w:r w:rsidRPr="003E20D6">
              <w:rPr>
                <w:rFonts w:ascii="Arial" w:hAnsi="Arial" w:cs="Arial"/>
                <w:sz w:val="18"/>
                <w:szCs w:val="18"/>
              </w:rPr>
              <w:t>5.6</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3  (</w:t>
            </w:r>
            <w:proofErr w:type="gramEnd"/>
            <w:r w:rsidRPr="003E20D6">
              <w:rPr>
                <w:rFonts w:ascii="Arial" w:hAnsi="Arial" w:cs="Arial"/>
                <w:sz w:val="18"/>
                <w:szCs w:val="18"/>
              </w:rPr>
              <w:t>15.0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  (</w:t>
            </w:r>
            <w:proofErr w:type="gramEnd"/>
            <w:r w:rsidRPr="003E20D6">
              <w:rPr>
                <w:rFonts w:ascii="Arial" w:hAnsi="Arial" w:cs="Arial"/>
                <w:sz w:val="18"/>
                <w:szCs w:val="18"/>
              </w:rPr>
              <w:t>3.3</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Stage II</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21  (</w:t>
            </w:r>
            <w:proofErr w:type="gramEnd"/>
            <w:r w:rsidRPr="003E20D6">
              <w:rPr>
                <w:rFonts w:ascii="Arial" w:hAnsi="Arial" w:cs="Arial"/>
                <w:sz w:val="18"/>
                <w:szCs w:val="18"/>
              </w:rPr>
              <w:t>25.0</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7  (</w:t>
            </w:r>
            <w:proofErr w:type="gramEnd"/>
            <w:r w:rsidRPr="003E20D6">
              <w:rPr>
                <w:rFonts w:ascii="Arial" w:hAnsi="Arial" w:cs="Arial"/>
                <w:sz w:val="18"/>
                <w:szCs w:val="18"/>
              </w:rPr>
              <w:t>38.9</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8  (</w:t>
            </w:r>
            <w:proofErr w:type="gramEnd"/>
            <w:r w:rsidRPr="003E20D6">
              <w:rPr>
                <w:rFonts w:ascii="Arial" w:hAnsi="Arial" w:cs="Arial"/>
                <w:sz w:val="18"/>
                <w:szCs w:val="18"/>
              </w:rPr>
              <w:t>40.0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11  (</w:t>
            </w:r>
            <w:proofErr w:type="gramEnd"/>
            <w:r w:rsidRPr="003E20D6">
              <w:rPr>
                <w:rFonts w:ascii="Arial" w:hAnsi="Arial" w:cs="Arial"/>
                <w:sz w:val="18"/>
                <w:szCs w:val="18"/>
              </w:rPr>
              <w:t>36.7</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Stage III-IV</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49  (</w:t>
            </w:r>
            <w:proofErr w:type="gramEnd"/>
            <w:r w:rsidRPr="003E20D6">
              <w:rPr>
                <w:rFonts w:ascii="Arial" w:hAnsi="Arial" w:cs="Arial"/>
                <w:sz w:val="18"/>
                <w:szCs w:val="18"/>
              </w:rPr>
              <w:t>58.3</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10  (</w:t>
            </w:r>
            <w:proofErr w:type="gramEnd"/>
            <w:r w:rsidRPr="003E20D6">
              <w:rPr>
                <w:rFonts w:ascii="Arial" w:hAnsi="Arial" w:cs="Arial"/>
                <w:sz w:val="18"/>
                <w:szCs w:val="18"/>
              </w:rPr>
              <w:t>55.6</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9  (</w:t>
            </w:r>
            <w:proofErr w:type="gramEnd"/>
            <w:r w:rsidRPr="003E20D6">
              <w:rPr>
                <w:rFonts w:ascii="Arial" w:hAnsi="Arial" w:cs="Arial"/>
                <w:sz w:val="18"/>
                <w:szCs w:val="18"/>
              </w:rPr>
              <w:t>45.0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18  (</w:t>
            </w:r>
            <w:proofErr w:type="gramEnd"/>
            <w:r w:rsidRPr="003E20D6">
              <w:rPr>
                <w:rFonts w:ascii="Arial" w:hAnsi="Arial" w:cs="Arial"/>
                <w:sz w:val="18"/>
                <w:szCs w:val="18"/>
              </w:rPr>
              <w:t>60.0</w:t>
            </w:r>
            <w:r>
              <w:rPr>
                <w:rFonts w:ascii="Arial" w:hAnsi="Arial" w:cs="Arial"/>
                <w:sz w:val="18"/>
                <w:szCs w:val="18"/>
              </w:rPr>
              <w:t>%</w:t>
            </w:r>
            <w:r w:rsidRPr="003E20D6">
              <w:rPr>
                <w:rFonts w:ascii="Arial" w:hAnsi="Arial" w:cs="Arial"/>
                <w:sz w:val="18"/>
                <w:szCs w:val="18"/>
              </w:rPr>
              <w:t>)</w:t>
            </w:r>
          </w:p>
        </w:tc>
      </w:tr>
      <w:tr w:rsidR="00A83AB5" w:rsidTr="00A839FE">
        <w:tc>
          <w:tcPr>
            <w:tcW w:w="9108" w:type="dxa"/>
            <w:gridSpan w:val="6"/>
          </w:tcPr>
          <w:p w:rsidR="00A83AB5" w:rsidRPr="00E07C1C" w:rsidRDefault="00A83AB5" w:rsidP="00A839FE">
            <w:pPr>
              <w:ind w:left="34"/>
              <w:rPr>
                <w:b/>
              </w:rPr>
            </w:pPr>
            <w:r w:rsidRPr="00E07C1C">
              <w:rPr>
                <w:rFonts w:ascii="Arial" w:hAnsi="Arial" w:cs="Arial"/>
                <w:b/>
              </w:rPr>
              <w:t xml:space="preserve">Lymphatic </w:t>
            </w:r>
            <w:proofErr w:type="spellStart"/>
            <w:r w:rsidRPr="00E07C1C">
              <w:rPr>
                <w:rFonts w:ascii="Arial" w:hAnsi="Arial" w:cs="Arial"/>
                <w:b/>
              </w:rPr>
              <w:t>mets</w:t>
            </w:r>
            <w:proofErr w:type="spellEnd"/>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Negative</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25  (</w:t>
            </w:r>
            <w:proofErr w:type="gramEnd"/>
            <w:r w:rsidRPr="003E20D6">
              <w:rPr>
                <w:rFonts w:ascii="Arial" w:hAnsi="Arial" w:cs="Arial"/>
                <w:sz w:val="18"/>
                <w:szCs w:val="18"/>
              </w:rPr>
              <w:t>29.8</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6  (</w:t>
            </w:r>
            <w:proofErr w:type="gramEnd"/>
            <w:r w:rsidRPr="003E20D6">
              <w:rPr>
                <w:rFonts w:ascii="Arial" w:hAnsi="Arial" w:cs="Arial"/>
                <w:sz w:val="18"/>
                <w:szCs w:val="18"/>
              </w:rPr>
              <w:t>33.3</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9  (</w:t>
            </w:r>
            <w:proofErr w:type="gramEnd"/>
            <w:r w:rsidRPr="003E20D6">
              <w:rPr>
                <w:rFonts w:ascii="Arial" w:hAnsi="Arial" w:cs="Arial"/>
                <w:sz w:val="18"/>
                <w:szCs w:val="18"/>
              </w:rPr>
              <w:t>45.0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7  (</w:t>
            </w:r>
            <w:proofErr w:type="gramEnd"/>
            <w:r w:rsidRPr="003E20D6">
              <w:rPr>
                <w:rFonts w:ascii="Arial" w:hAnsi="Arial" w:cs="Arial"/>
                <w:sz w:val="18"/>
                <w:szCs w:val="18"/>
              </w:rPr>
              <w:t>23.3</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Positive</w:t>
            </w:r>
          </w:p>
        </w:tc>
        <w:tc>
          <w:tcPr>
            <w:tcW w:w="1701"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59  (</w:t>
            </w:r>
            <w:proofErr w:type="gramEnd"/>
            <w:r w:rsidRPr="003E20D6">
              <w:rPr>
                <w:rFonts w:ascii="Arial" w:hAnsi="Arial" w:cs="Arial"/>
                <w:sz w:val="18"/>
                <w:szCs w:val="18"/>
              </w:rPr>
              <w:t>70.2</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12  (</w:t>
            </w:r>
            <w:proofErr w:type="gramEnd"/>
            <w:r w:rsidRPr="003E20D6">
              <w:rPr>
                <w:rFonts w:ascii="Arial" w:hAnsi="Arial" w:cs="Arial"/>
                <w:sz w:val="18"/>
                <w:szCs w:val="18"/>
              </w:rPr>
              <w:t>66.7</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11  (</w:t>
            </w:r>
            <w:proofErr w:type="gramEnd"/>
            <w:r w:rsidRPr="003E20D6">
              <w:rPr>
                <w:rFonts w:ascii="Arial" w:hAnsi="Arial" w:cs="Arial"/>
                <w:sz w:val="18"/>
                <w:szCs w:val="18"/>
              </w:rPr>
              <w:t>55.0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23  (</w:t>
            </w:r>
            <w:proofErr w:type="gramEnd"/>
            <w:r w:rsidRPr="003E20D6">
              <w:rPr>
                <w:rFonts w:ascii="Arial" w:hAnsi="Arial" w:cs="Arial"/>
                <w:sz w:val="18"/>
                <w:szCs w:val="18"/>
              </w:rPr>
              <w:t>76.7</w:t>
            </w:r>
            <w:r>
              <w:rPr>
                <w:rFonts w:ascii="Arial" w:hAnsi="Arial" w:cs="Arial"/>
                <w:sz w:val="18"/>
                <w:szCs w:val="18"/>
              </w:rPr>
              <w:t>%</w:t>
            </w:r>
            <w:r w:rsidRPr="003E20D6">
              <w:rPr>
                <w:rFonts w:ascii="Arial" w:hAnsi="Arial" w:cs="Arial"/>
                <w:sz w:val="18"/>
                <w:szCs w:val="18"/>
              </w:rPr>
              <w:t>)</w:t>
            </w:r>
          </w:p>
        </w:tc>
      </w:tr>
      <w:tr w:rsidR="00A83AB5" w:rsidTr="00A839FE">
        <w:tc>
          <w:tcPr>
            <w:tcW w:w="9108" w:type="dxa"/>
            <w:gridSpan w:val="6"/>
          </w:tcPr>
          <w:p w:rsidR="00A83AB5" w:rsidRPr="00E07C1C" w:rsidRDefault="00A83AB5" w:rsidP="00A839FE">
            <w:pPr>
              <w:rPr>
                <w:b/>
              </w:rPr>
            </w:pPr>
            <w:r w:rsidRPr="00E07C1C">
              <w:rPr>
                <w:rFonts w:ascii="Arial" w:hAnsi="Arial" w:cs="Arial"/>
                <w:b/>
              </w:rPr>
              <w:t>Vascular invasion</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Negative</w:t>
            </w:r>
          </w:p>
        </w:tc>
        <w:tc>
          <w:tcPr>
            <w:tcW w:w="1701" w:type="dxa"/>
            <w:vAlign w:val="center"/>
          </w:tcPr>
          <w:p w:rsidR="00A83AB5" w:rsidRPr="003E20D6" w:rsidRDefault="00A83AB5" w:rsidP="00A839FE">
            <w:pPr>
              <w:ind w:left="60" w:right="60"/>
              <w:jc w:val="right"/>
              <w:rPr>
                <w:rFonts w:ascii="Arial" w:hAnsi="Arial" w:cs="Arial"/>
                <w:sz w:val="18"/>
                <w:szCs w:val="18"/>
              </w:rPr>
            </w:pPr>
            <w:proofErr w:type="gramStart"/>
            <w:r w:rsidRPr="003E20D6">
              <w:rPr>
                <w:rFonts w:ascii="Arial" w:hAnsi="Arial" w:cs="Arial"/>
                <w:sz w:val="18"/>
                <w:szCs w:val="18"/>
              </w:rPr>
              <w:t>46  (</w:t>
            </w:r>
            <w:proofErr w:type="gramEnd"/>
            <w:r w:rsidRPr="003E20D6">
              <w:rPr>
                <w:rFonts w:ascii="Arial" w:hAnsi="Arial" w:cs="Arial"/>
                <w:sz w:val="18"/>
                <w:szCs w:val="18"/>
              </w:rPr>
              <w:t>54.8</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12  (</w:t>
            </w:r>
            <w:proofErr w:type="gramEnd"/>
            <w:r w:rsidRPr="003E20D6">
              <w:rPr>
                <w:rFonts w:ascii="Arial" w:hAnsi="Arial" w:cs="Arial"/>
                <w:sz w:val="18"/>
                <w:szCs w:val="18"/>
              </w:rPr>
              <w:t>66.7</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17  (</w:t>
            </w:r>
            <w:proofErr w:type="gramEnd"/>
            <w:r w:rsidRPr="003E20D6">
              <w:rPr>
                <w:rFonts w:ascii="Arial" w:hAnsi="Arial" w:cs="Arial"/>
                <w:sz w:val="18"/>
                <w:szCs w:val="18"/>
              </w:rPr>
              <w:t>85.0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20  (</w:t>
            </w:r>
            <w:proofErr w:type="gramEnd"/>
            <w:r w:rsidRPr="003E20D6">
              <w:rPr>
                <w:rFonts w:ascii="Arial" w:hAnsi="Arial" w:cs="Arial"/>
                <w:sz w:val="18"/>
                <w:szCs w:val="18"/>
              </w:rPr>
              <w:t>66.7</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Positive</w:t>
            </w:r>
          </w:p>
        </w:tc>
        <w:tc>
          <w:tcPr>
            <w:tcW w:w="1701" w:type="dxa"/>
            <w:vAlign w:val="center"/>
          </w:tcPr>
          <w:p w:rsidR="00A83AB5" w:rsidRPr="003E20D6" w:rsidRDefault="00A83AB5" w:rsidP="00A839FE">
            <w:pPr>
              <w:ind w:left="60" w:right="60"/>
              <w:jc w:val="right"/>
              <w:rPr>
                <w:rFonts w:ascii="Arial" w:hAnsi="Arial" w:cs="Arial"/>
                <w:sz w:val="18"/>
                <w:szCs w:val="18"/>
              </w:rPr>
            </w:pPr>
            <w:proofErr w:type="gramStart"/>
            <w:r w:rsidRPr="003E20D6">
              <w:rPr>
                <w:rFonts w:ascii="Arial" w:hAnsi="Arial" w:cs="Arial"/>
                <w:sz w:val="18"/>
                <w:szCs w:val="18"/>
              </w:rPr>
              <w:t>38  (</w:t>
            </w:r>
            <w:proofErr w:type="gramEnd"/>
            <w:r w:rsidRPr="003E20D6">
              <w:rPr>
                <w:rFonts w:ascii="Arial" w:hAnsi="Arial" w:cs="Arial"/>
                <w:sz w:val="18"/>
                <w:szCs w:val="18"/>
              </w:rPr>
              <w:t>45.2</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6  (</w:t>
            </w:r>
            <w:proofErr w:type="gramEnd"/>
            <w:r w:rsidRPr="003E20D6">
              <w:rPr>
                <w:rFonts w:ascii="Arial" w:hAnsi="Arial" w:cs="Arial"/>
                <w:sz w:val="18"/>
                <w:szCs w:val="18"/>
              </w:rPr>
              <w:t>33.3</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3  (</w:t>
            </w:r>
            <w:proofErr w:type="gramEnd"/>
            <w:r w:rsidRPr="003E20D6">
              <w:rPr>
                <w:rFonts w:ascii="Arial" w:hAnsi="Arial" w:cs="Arial"/>
                <w:sz w:val="18"/>
                <w:szCs w:val="18"/>
              </w:rPr>
              <w:t>15.0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10  (</w:t>
            </w:r>
            <w:proofErr w:type="gramEnd"/>
            <w:r w:rsidRPr="003E20D6">
              <w:rPr>
                <w:rFonts w:ascii="Arial" w:hAnsi="Arial" w:cs="Arial"/>
                <w:sz w:val="18"/>
                <w:szCs w:val="18"/>
              </w:rPr>
              <w:t>33.3</w:t>
            </w:r>
            <w:r>
              <w:rPr>
                <w:rFonts w:ascii="Arial" w:hAnsi="Arial" w:cs="Arial"/>
                <w:sz w:val="18"/>
                <w:szCs w:val="18"/>
              </w:rPr>
              <w:t>%</w:t>
            </w:r>
            <w:r w:rsidRPr="003E20D6">
              <w:rPr>
                <w:rFonts w:ascii="Arial" w:hAnsi="Arial" w:cs="Arial"/>
                <w:sz w:val="18"/>
                <w:szCs w:val="18"/>
              </w:rPr>
              <w:t>)</w:t>
            </w:r>
          </w:p>
        </w:tc>
      </w:tr>
      <w:tr w:rsidR="00A83AB5" w:rsidTr="00A839FE">
        <w:tc>
          <w:tcPr>
            <w:tcW w:w="9108" w:type="dxa"/>
            <w:gridSpan w:val="6"/>
          </w:tcPr>
          <w:p w:rsidR="00A83AB5" w:rsidRPr="00E07C1C" w:rsidRDefault="00A83AB5" w:rsidP="00A839FE">
            <w:pPr>
              <w:ind w:left="34"/>
              <w:rPr>
                <w:b/>
              </w:rPr>
            </w:pPr>
            <w:r w:rsidRPr="00E07C1C">
              <w:rPr>
                <w:rFonts w:ascii="Arial" w:hAnsi="Arial" w:cs="Arial"/>
                <w:b/>
              </w:rPr>
              <w:t>Neural invasion</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Negative</w:t>
            </w:r>
          </w:p>
        </w:tc>
        <w:tc>
          <w:tcPr>
            <w:tcW w:w="1701" w:type="dxa"/>
            <w:vAlign w:val="center"/>
          </w:tcPr>
          <w:p w:rsidR="00A83AB5" w:rsidRPr="003E20D6" w:rsidRDefault="00A83AB5" w:rsidP="00A839FE">
            <w:pPr>
              <w:ind w:left="60" w:right="60"/>
              <w:jc w:val="right"/>
              <w:rPr>
                <w:rFonts w:ascii="Arial" w:hAnsi="Arial" w:cs="Arial"/>
                <w:sz w:val="18"/>
                <w:szCs w:val="18"/>
              </w:rPr>
            </w:pPr>
            <w:proofErr w:type="gramStart"/>
            <w:r w:rsidRPr="003E20D6">
              <w:rPr>
                <w:rFonts w:ascii="Arial" w:hAnsi="Arial" w:cs="Arial"/>
                <w:sz w:val="18"/>
                <w:szCs w:val="18"/>
              </w:rPr>
              <w:t>56  (</w:t>
            </w:r>
            <w:proofErr w:type="gramEnd"/>
            <w:r w:rsidRPr="003E20D6">
              <w:rPr>
                <w:rFonts w:ascii="Arial" w:hAnsi="Arial" w:cs="Arial"/>
                <w:sz w:val="18"/>
                <w:szCs w:val="18"/>
              </w:rPr>
              <w:t>66.7</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10  (</w:t>
            </w:r>
            <w:proofErr w:type="gramEnd"/>
            <w:r w:rsidRPr="003E20D6">
              <w:rPr>
                <w:rFonts w:ascii="Arial" w:hAnsi="Arial" w:cs="Arial"/>
                <w:sz w:val="18"/>
                <w:szCs w:val="18"/>
              </w:rPr>
              <w:t>55.6</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19  (</w:t>
            </w:r>
            <w:proofErr w:type="gramEnd"/>
            <w:r w:rsidRPr="003E20D6">
              <w:rPr>
                <w:rFonts w:ascii="Arial" w:hAnsi="Arial" w:cs="Arial"/>
                <w:sz w:val="18"/>
                <w:szCs w:val="18"/>
              </w:rPr>
              <w:t>95.0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22  (</w:t>
            </w:r>
            <w:proofErr w:type="gramEnd"/>
            <w:r w:rsidRPr="003E20D6">
              <w:rPr>
                <w:rFonts w:ascii="Arial" w:hAnsi="Arial" w:cs="Arial"/>
                <w:sz w:val="18"/>
                <w:szCs w:val="18"/>
              </w:rPr>
              <w:t>73.3</w:t>
            </w:r>
            <w:r>
              <w:rPr>
                <w:rFonts w:ascii="Arial" w:hAnsi="Arial" w:cs="Arial"/>
                <w:sz w:val="18"/>
                <w:szCs w:val="18"/>
              </w:rPr>
              <w:t>%</w:t>
            </w:r>
            <w:r w:rsidRPr="003E20D6">
              <w:rPr>
                <w:rFonts w:ascii="Arial" w:hAnsi="Arial" w:cs="Arial"/>
                <w:sz w:val="18"/>
                <w:szCs w:val="18"/>
              </w:rPr>
              <w:t>)</w:t>
            </w:r>
          </w:p>
        </w:tc>
      </w:tr>
      <w:tr w:rsidR="00A83AB5" w:rsidTr="00A839FE">
        <w:tc>
          <w:tcPr>
            <w:tcW w:w="2093" w:type="dxa"/>
          </w:tcPr>
          <w:p w:rsidR="00A83AB5" w:rsidRPr="00A43ECD" w:rsidRDefault="00A83AB5" w:rsidP="00A839FE">
            <w:pPr>
              <w:spacing w:before="120"/>
              <w:jc w:val="center"/>
              <w:rPr>
                <w:sz w:val="20"/>
                <w:szCs w:val="20"/>
              </w:rPr>
            </w:pPr>
            <w:r w:rsidRPr="00A43ECD">
              <w:rPr>
                <w:rFonts w:ascii="Arial" w:hAnsi="Arial" w:cs="Arial"/>
                <w:sz w:val="20"/>
                <w:szCs w:val="20"/>
              </w:rPr>
              <w:t>Positive</w:t>
            </w:r>
          </w:p>
        </w:tc>
        <w:tc>
          <w:tcPr>
            <w:tcW w:w="1701" w:type="dxa"/>
            <w:vAlign w:val="center"/>
          </w:tcPr>
          <w:p w:rsidR="00A83AB5" w:rsidRPr="003E20D6" w:rsidRDefault="00A83AB5" w:rsidP="00A839FE">
            <w:pPr>
              <w:ind w:left="60" w:right="60"/>
              <w:jc w:val="right"/>
              <w:rPr>
                <w:rFonts w:ascii="Arial" w:hAnsi="Arial" w:cs="Arial"/>
                <w:sz w:val="18"/>
                <w:szCs w:val="18"/>
              </w:rPr>
            </w:pPr>
            <w:r w:rsidRPr="003E20D6">
              <w:rPr>
                <w:rFonts w:ascii="Arial" w:hAnsi="Arial" w:cs="Arial"/>
                <w:sz w:val="18"/>
                <w:szCs w:val="18"/>
              </w:rPr>
              <w:t>28</w:t>
            </w:r>
            <w:r>
              <w:rPr>
                <w:rFonts w:ascii="Arial" w:hAnsi="Arial" w:cs="Arial"/>
                <w:sz w:val="18"/>
                <w:szCs w:val="18"/>
              </w:rPr>
              <w:t xml:space="preserve"> </w:t>
            </w:r>
            <w:r w:rsidRPr="003E20D6">
              <w:rPr>
                <w:rFonts w:ascii="Arial" w:hAnsi="Arial" w:cs="Arial"/>
                <w:sz w:val="18"/>
                <w:szCs w:val="18"/>
              </w:rPr>
              <w:t>(33.3</w:t>
            </w:r>
            <w:r>
              <w:rPr>
                <w:rFonts w:ascii="Arial" w:hAnsi="Arial" w:cs="Arial"/>
                <w:sz w:val="18"/>
                <w:szCs w:val="18"/>
              </w:rPr>
              <w:t>%</w:t>
            </w:r>
            <w:r w:rsidRPr="003E20D6">
              <w:rPr>
                <w:rFonts w:ascii="Arial" w:hAnsi="Arial" w:cs="Arial"/>
                <w:sz w:val="18"/>
                <w:szCs w:val="18"/>
              </w:rPr>
              <w:t>)</w:t>
            </w:r>
          </w:p>
        </w:tc>
        <w:tc>
          <w:tcPr>
            <w:tcW w:w="1714"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8  (</w:t>
            </w:r>
            <w:proofErr w:type="gramEnd"/>
            <w:r w:rsidRPr="003E20D6">
              <w:rPr>
                <w:rFonts w:ascii="Arial" w:hAnsi="Arial" w:cs="Arial"/>
                <w:sz w:val="18"/>
                <w:szCs w:val="18"/>
              </w:rPr>
              <w:t>44.4</w:t>
            </w:r>
            <w:r>
              <w:rPr>
                <w:rFonts w:ascii="Arial" w:hAnsi="Arial" w:cs="Arial"/>
                <w:sz w:val="18"/>
                <w:szCs w:val="18"/>
              </w:rPr>
              <w:t>%</w:t>
            </w:r>
            <w:r w:rsidRPr="003E20D6">
              <w:rPr>
                <w:rFonts w:ascii="Arial" w:hAnsi="Arial" w:cs="Arial"/>
                <w:sz w:val="18"/>
                <w:szCs w:val="18"/>
              </w:rPr>
              <w:t>)</w:t>
            </w:r>
          </w:p>
        </w:tc>
        <w:tc>
          <w:tcPr>
            <w:tcW w:w="1800" w:type="dxa"/>
            <w:gridSpan w:val="2"/>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1  (</w:t>
            </w:r>
            <w:proofErr w:type="gramEnd"/>
            <w:r w:rsidRPr="003E20D6">
              <w:rPr>
                <w:rFonts w:ascii="Arial" w:hAnsi="Arial" w:cs="Arial"/>
                <w:sz w:val="18"/>
                <w:szCs w:val="18"/>
              </w:rPr>
              <w:t>5.0</w:t>
            </w:r>
            <w:r>
              <w:rPr>
                <w:rFonts w:ascii="Arial" w:hAnsi="Arial" w:cs="Arial"/>
                <w:sz w:val="18"/>
                <w:szCs w:val="18"/>
              </w:rPr>
              <w:t>%</w:t>
            </w:r>
            <w:r w:rsidRPr="003E20D6">
              <w:rPr>
                <w:rFonts w:ascii="Arial" w:hAnsi="Arial" w:cs="Arial"/>
                <w:sz w:val="18"/>
                <w:szCs w:val="18"/>
              </w:rPr>
              <w:t>)</w:t>
            </w:r>
          </w:p>
        </w:tc>
        <w:tc>
          <w:tcPr>
            <w:tcW w:w="1800" w:type="dxa"/>
            <w:vAlign w:val="center"/>
          </w:tcPr>
          <w:p w:rsidR="00A83AB5" w:rsidRPr="003E20D6" w:rsidRDefault="00A83AB5" w:rsidP="00A839FE">
            <w:pPr>
              <w:spacing w:after="120"/>
              <w:ind w:left="60" w:right="60"/>
              <w:jc w:val="right"/>
              <w:rPr>
                <w:rFonts w:ascii="Arial" w:hAnsi="Arial" w:cs="Arial"/>
                <w:sz w:val="18"/>
                <w:szCs w:val="18"/>
              </w:rPr>
            </w:pPr>
            <w:proofErr w:type="gramStart"/>
            <w:r w:rsidRPr="003E20D6">
              <w:rPr>
                <w:rFonts w:ascii="Arial" w:hAnsi="Arial" w:cs="Arial"/>
                <w:sz w:val="18"/>
                <w:szCs w:val="18"/>
              </w:rPr>
              <w:t>8  (</w:t>
            </w:r>
            <w:proofErr w:type="gramEnd"/>
            <w:r w:rsidRPr="003E20D6">
              <w:rPr>
                <w:rFonts w:ascii="Arial" w:hAnsi="Arial" w:cs="Arial"/>
                <w:sz w:val="18"/>
                <w:szCs w:val="18"/>
              </w:rPr>
              <w:t>26.7</w:t>
            </w:r>
            <w:r>
              <w:rPr>
                <w:rFonts w:ascii="Arial" w:hAnsi="Arial" w:cs="Arial"/>
                <w:sz w:val="18"/>
                <w:szCs w:val="18"/>
              </w:rPr>
              <w:t>%</w:t>
            </w:r>
            <w:r w:rsidRPr="003E20D6">
              <w:rPr>
                <w:rFonts w:ascii="Arial" w:hAnsi="Arial" w:cs="Arial"/>
                <w:sz w:val="18"/>
                <w:szCs w:val="18"/>
              </w:rPr>
              <w:t>)</w:t>
            </w:r>
          </w:p>
        </w:tc>
      </w:tr>
    </w:tbl>
    <w:p w:rsidR="00A83AB5" w:rsidRDefault="00A83AB5" w:rsidP="00A83AB5"/>
    <w:p w:rsidR="00342E1F" w:rsidRDefault="00A83AB5" w:rsidP="00A83AB5">
      <w:pPr>
        <w:spacing w:before="240" w:line="480" w:lineRule="auto"/>
        <w:jc w:val="both"/>
        <w:rPr>
          <w:rFonts w:ascii="Times New Roman" w:hAnsi="Times New Roman" w:cs="Times New Roman"/>
        </w:rPr>
      </w:pPr>
      <w:r w:rsidRPr="00ED6463">
        <w:rPr>
          <w:rFonts w:ascii="Times New Roman" w:hAnsi="Times New Roman" w:cs="Times New Roman"/>
          <w:b/>
          <w:bCs/>
          <w:lang w:val="en-IE"/>
        </w:rPr>
        <w:t>Supplementary Table 1</w:t>
      </w:r>
      <w:r>
        <w:rPr>
          <w:rFonts w:ascii="Times New Roman" w:hAnsi="Times New Roman" w:cs="Times New Roman"/>
        </w:rPr>
        <w:t xml:space="preserve">. </w:t>
      </w:r>
      <w:r w:rsidRPr="00CE6954">
        <w:rPr>
          <w:rFonts w:ascii="Times New Roman" w:hAnsi="Times New Roman" w:cs="Times New Roman"/>
        </w:rPr>
        <w:t xml:space="preserve">Clinical and </w:t>
      </w:r>
      <w:proofErr w:type="spellStart"/>
      <w:r w:rsidRPr="00CE6954">
        <w:rPr>
          <w:rFonts w:ascii="Times New Roman" w:hAnsi="Times New Roman" w:cs="Times New Roman"/>
        </w:rPr>
        <w:t>histopathological</w:t>
      </w:r>
      <w:proofErr w:type="spellEnd"/>
      <w:r w:rsidRPr="00CE6954">
        <w:rPr>
          <w:rFonts w:ascii="Times New Roman" w:hAnsi="Times New Roman" w:cs="Times New Roman"/>
        </w:rPr>
        <w:t xml:space="preserve"> data from both</w:t>
      </w:r>
      <w:r>
        <w:rPr>
          <w:rFonts w:ascii="Times New Roman" w:hAnsi="Times New Roman" w:cs="Times New Roman"/>
        </w:rPr>
        <w:t xml:space="preserve"> Group 1 (</w:t>
      </w:r>
      <w:proofErr w:type="spellStart"/>
      <w:r>
        <w:rPr>
          <w:rFonts w:ascii="Times New Roman" w:hAnsi="Times New Roman" w:cs="Times New Roman"/>
        </w:rPr>
        <w:t>neo</w:t>
      </w:r>
      <w:r w:rsidRPr="00EE0380">
        <w:rPr>
          <w:rFonts w:ascii="Times New Roman" w:hAnsi="Times New Roman" w:cs="Times New Roman"/>
        </w:rPr>
        <w:t>adjuvant</w:t>
      </w:r>
      <w:proofErr w:type="spellEnd"/>
      <w:r w:rsidRPr="003F149E">
        <w:rPr>
          <w:rFonts w:ascii="Times New Roman" w:hAnsi="Times New Roman" w:cs="Times New Roman"/>
          <w:iCs/>
          <w:color w:val="auto"/>
        </w:rPr>
        <w:t>-</w:t>
      </w:r>
      <w:r>
        <w:rPr>
          <w:rFonts w:ascii="Times New Roman" w:hAnsi="Times New Roman" w:cs="Times New Roman"/>
          <w:iCs/>
          <w:color w:val="auto"/>
        </w:rPr>
        <w:t>naïve) and Group 2 (</w:t>
      </w:r>
      <w:proofErr w:type="spellStart"/>
      <w:r>
        <w:rPr>
          <w:rFonts w:ascii="Times New Roman" w:hAnsi="Times New Roman" w:cs="Times New Roman"/>
          <w:iCs/>
          <w:color w:val="auto"/>
        </w:rPr>
        <w:t>neoadjuvant</w:t>
      </w:r>
      <w:proofErr w:type="spellEnd"/>
      <w:r>
        <w:rPr>
          <w:rFonts w:ascii="Times New Roman" w:hAnsi="Times New Roman" w:cs="Times New Roman"/>
          <w:iCs/>
          <w:color w:val="auto"/>
        </w:rPr>
        <w:t xml:space="preserve"> therapy)</w:t>
      </w:r>
      <w:r w:rsidRPr="00CE6954">
        <w:rPr>
          <w:rFonts w:ascii="Times New Roman" w:hAnsi="Times New Roman" w:cs="Times New Roman"/>
        </w:rPr>
        <w:t xml:space="preserve"> </w:t>
      </w:r>
      <w:proofErr w:type="spellStart"/>
      <w:r>
        <w:rPr>
          <w:rFonts w:ascii="Times New Roman" w:hAnsi="Times New Roman" w:cs="Times New Roman"/>
        </w:rPr>
        <w:t>esophageal</w:t>
      </w:r>
      <w:proofErr w:type="spellEnd"/>
      <w:r w:rsidRPr="00CE6954">
        <w:rPr>
          <w:rFonts w:ascii="Times New Roman" w:hAnsi="Times New Roman" w:cs="Times New Roman"/>
        </w:rPr>
        <w:t xml:space="preserve"> </w:t>
      </w:r>
      <w:proofErr w:type="spellStart"/>
      <w:r w:rsidRPr="00CE6954">
        <w:rPr>
          <w:rFonts w:ascii="Times New Roman" w:hAnsi="Times New Roman" w:cs="Times New Roman"/>
        </w:rPr>
        <w:t>adenocarcinoma</w:t>
      </w:r>
      <w:proofErr w:type="spellEnd"/>
      <w:r w:rsidRPr="00CE6954">
        <w:rPr>
          <w:rFonts w:ascii="Times New Roman" w:hAnsi="Times New Roman" w:cs="Times New Roman"/>
        </w:rPr>
        <w:t xml:space="preserve"> patient</w:t>
      </w:r>
      <w:r>
        <w:rPr>
          <w:rFonts w:ascii="Times New Roman" w:hAnsi="Times New Roman" w:cs="Times New Roman"/>
        </w:rPr>
        <w:t>s.</w:t>
      </w:r>
    </w:p>
    <w:p w:rsidR="00342E1F" w:rsidRDefault="00342E1F">
      <w:pPr>
        <w:suppressAutoHyphens w:val="0"/>
        <w:spacing w:after="160" w:line="259" w:lineRule="auto"/>
        <w:rPr>
          <w:rFonts w:ascii="Times New Roman" w:hAnsi="Times New Roman" w:cs="Times New Roman"/>
        </w:rPr>
      </w:pPr>
      <w:r>
        <w:rPr>
          <w:rFonts w:ascii="Times New Roman" w:hAnsi="Times New Roman" w:cs="Times New Roman"/>
        </w:rPr>
        <w:br w:type="page"/>
      </w:r>
    </w:p>
    <w:p w:rsidR="00A83AB5" w:rsidRPr="00342E1F" w:rsidRDefault="00342E1F" w:rsidP="00A83AB5">
      <w:pPr>
        <w:spacing w:before="240" w:line="480" w:lineRule="auto"/>
        <w:jc w:val="both"/>
        <w:rPr>
          <w:rFonts w:ascii="Times New Roman" w:hAnsi="Times New Roman" w:cs="Times New Roman"/>
          <w:b/>
        </w:rPr>
      </w:pPr>
      <w:r w:rsidRPr="00342E1F">
        <w:rPr>
          <w:rFonts w:ascii="Times New Roman" w:hAnsi="Times New Roman" w:cs="Times New Roman"/>
          <w:b/>
        </w:rPr>
        <w:lastRenderedPageBreak/>
        <w:t xml:space="preserve">Supplementary Figure Legend </w:t>
      </w:r>
    </w:p>
    <w:p w:rsidR="00342E1F" w:rsidRPr="00254B8C" w:rsidRDefault="00342E1F" w:rsidP="00342E1F">
      <w:pPr>
        <w:spacing w:line="480" w:lineRule="auto"/>
        <w:jc w:val="both"/>
        <w:rPr>
          <w:rFonts w:ascii="Times New Roman" w:hAnsi="Times New Roman" w:cs="Times New Roman"/>
          <w:color w:val="000000" w:themeColor="text1"/>
          <w:lang w:val="en-IE"/>
        </w:rPr>
      </w:pPr>
      <w:r w:rsidRPr="000B218D">
        <w:rPr>
          <w:rFonts w:ascii="Times New Roman" w:hAnsi="Times New Roman" w:cs="Times New Roman"/>
          <w:b/>
          <w:color w:val="000000" w:themeColor="text1"/>
          <w:sz w:val="22"/>
          <w:szCs w:val="22"/>
          <w:lang w:val="en-IE"/>
        </w:rPr>
        <w:t xml:space="preserve">Figure S1. </w:t>
      </w:r>
      <w:r w:rsidRPr="000B218D">
        <w:rPr>
          <w:rFonts w:ascii="Times New Roman" w:hAnsi="Times New Roman" w:cs="Times New Roman"/>
          <w:color w:val="000000" w:themeColor="text1"/>
          <w:sz w:val="22"/>
          <w:szCs w:val="22"/>
          <w:lang w:val="en-IE"/>
        </w:rPr>
        <w:t xml:space="preserve">Evaluation of the autophagy marker LC3B in </w:t>
      </w:r>
      <w:proofErr w:type="spellStart"/>
      <w:r w:rsidRPr="000B218D">
        <w:rPr>
          <w:rFonts w:ascii="Times New Roman" w:hAnsi="Times New Roman" w:cs="Times New Roman"/>
          <w:color w:val="000000" w:themeColor="text1"/>
          <w:sz w:val="22"/>
          <w:szCs w:val="22"/>
          <w:lang w:val="en-IE"/>
        </w:rPr>
        <w:t>esophageal</w:t>
      </w:r>
      <w:proofErr w:type="spellEnd"/>
      <w:r w:rsidRPr="000B218D">
        <w:rPr>
          <w:rFonts w:ascii="Times New Roman" w:hAnsi="Times New Roman" w:cs="Times New Roman"/>
          <w:color w:val="000000" w:themeColor="text1"/>
          <w:sz w:val="22"/>
          <w:szCs w:val="22"/>
          <w:lang w:val="en-IE"/>
        </w:rPr>
        <w:t xml:space="preserve"> cancer cell lines following 5</w:t>
      </w:r>
      <w:r>
        <w:rPr>
          <w:rFonts w:ascii="Times New Roman" w:hAnsi="Times New Roman" w:cs="Times New Roman"/>
          <w:color w:val="000000" w:themeColor="text1"/>
          <w:sz w:val="22"/>
          <w:szCs w:val="22"/>
          <w:lang w:val="en-IE"/>
        </w:rPr>
        <w:t>-fluorouracil (5-FU) treatment.</w:t>
      </w:r>
      <w:r w:rsidRPr="000B218D">
        <w:rPr>
          <w:rFonts w:ascii="Times New Roman" w:hAnsi="Times New Roman" w:cs="Times New Roman"/>
          <w:color w:val="000000" w:themeColor="text1"/>
          <w:sz w:val="22"/>
          <w:szCs w:val="22"/>
          <w:lang w:val="en-IE"/>
        </w:rPr>
        <w:t xml:space="preserve"> Untreated and treated</w:t>
      </w:r>
      <w:r>
        <w:rPr>
          <w:rFonts w:ascii="Times New Roman" w:hAnsi="Times New Roman" w:cs="Times New Roman"/>
          <w:color w:val="000000" w:themeColor="text1"/>
          <w:sz w:val="22"/>
          <w:szCs w:val="22"/>
          <w:lang w:val="en-IE"/>
        </w:rPr>
        <w:t xml:space="preserve"> (40 µM 5-FU for 48 hours) (</w:t>
      </w:r>
      <w:r w:rsidRPr="008D5278">
        <w:rPr>
          <w:rFonts w:ascii="Times New Roman" w:hAnsi="Times New Roman" w:cs="Times New Roman"/>
          <w:b/>
          <w:color w:val="000000" w:themeColor="text1"/>
          <w:sz w:val="22"/>
          <w:szCs w:val="22"/>
          <w:lang w:val="en-IE"/>
        </w:rPr>
        <w:t>A</w:t>
      </w:r>
      <w:r>
        <w:rPr>
          <w:rFonts w:ascii="Times New Roman" w:hAnsi="Times New Roman" w:cs="Times New Roman"/>
          <w:color w:val="000000" w:themeColor="text1"/>
          <w:sz w:val="22"/>
          <w:szCs w:val="22"/>
          <w:lang w:val="en-IE"/>
        </w:rPr>
        <w:t>) OE21</w:t>
      </w:r>
      <w:r w:rsidRPr="000B218D">
        <w:rPr>
          <w:rFonts w:ascii="Times New Roman" w:hAnsi="Times New Roman" w:cs="Times New Roman"/>
          <w:color w:val="000000" w:themeColor="text1"/>
          <w:sz w:val="22"/>
          <w:szCs w:val="22"/>
          <w:lang w:val="en-IE"/>
        </w:rPr>
        <w:t xml:space="preserve"> and </w:t>
      </w:r>
      <w:r>
        <w:rPr>
          <w:rFonts w:ascii="Times New Roman" w:hAnsi="Times New Roman" w:cs="Times New Roman"/>
          <w:color w:val="000000" w:themeColor="text1"/>
          <w:sz w:val="22"/>
          <w:szCs w:val="22"/>
          <w:lang w:val="en-IE"/>
        </w:rPr>
        <w:t>(</w:t>
      </w:r>
      <w:r w:rsidRPr="008D5278">
        <w:rPr>
          <w:rFonts w:ascii="Times New Roman" w:hAnsi="Times New Roman" w:cs="Times New Roman"/>
          <w:b/>
          <w:color w:val="000000" w:themeColor="text1"/>
          <w:sz w:val="22"/>
          <w:szCs w:val="22"/>
          <w:lang w:val="en-IE"/>
        </w:rPr>
        <w:t>B</w:t>
      </w:r>
      <w:r>
        <w:rPr>
          <w:rFonts w:ascii="Times New Roman" w:hAnsi="Times New Roman" w:cs="Times New Roman"/>
          <w:color w:val="000000" w:themeColor="text1"/>
          <w:sz w:val="22"/>
          <w:szCs w:val="22"/>
          <w:lang w:val="en-IE"/>
        </w:rPr>
        <w:t xml:space="preserve">) </w:t>
      </w:r>
      <w:r w:rsidRPr="000B218D">
        <w:rPr>
          <w:rFonts w:ascii="Times New Roman" w:hAnsi="Times New Roman" w:cs="Times New Roman"/>
          <w:color w:val="000000" w:themeColor="text1"/>
          <w:sz w:val="22"/>
          <w:szCs w:val="22"/>
          <w:lang w:val="en-IE"/>
        </w:rPr>
        <w:t xml:space="preserve">KYSE450 cells were prepared as </w:t>
      </w:r>
      <w:proofErr w:type="spellStart"/>
      <w:r w:rsidRPr="000B218D">
        <w:rPr>
          <w:rFonts w:ascii="Times New Roman" w:hAnsi="Times New Roman" w:cs="Times New Roman"/>
          <w:color w:val="000000" w:themeColor="text1"/>
          <w:sz w:val="22"/>
          <w:szCs w:val="22"/>
          <w:lang w:val="en-IE"/>
        </w:rPr>
        <w:t>agrose</w:t>
      </w:r>
      <w:proofErr w:type="spellEnd"/>
      <w:r w:rsidRPr="000B218D">
        <w:rPr>
          <w:rFonts w:ascii="Times New Roman" w:hAnsi="Times New Roman" w:cs="Times New Roman"/>
          <w:color w:val="000000" w:themeColor="text1"/>
          <w:sz w:val="22"/>
          <w:szCs w:val="22"/>
          <w:lang w:val="en-IE"/>
        </w:rPr>
        <w:t xml:space="preserve"> cell pellets which were fixed, processed and stained by standard immunohistochemistry. Mild staining of LC3B is detected before and after treatment in OE21 cells, while in KYSE450 cells, staining is mild in pre-treatment sections, with strong staini</w:t>
      </w:r>
      <w:r>
        <w:rPr>
          <w:rFonts w:ascii="Times New Roman" w:hAnsi="Times New Roman" w:cs="Times New Roman"/>
          <w:color w:val="000000" w:themeColor="text1"/>
          <w:sz w:val="22"/>
          <w:szCs w:val="22"/>
          <w:lang w:val="en-IE"/>
        </w:rPr>
        <w:t>ng observed following treatment</w:t>
      </w:r>
      <w:r w:rsidRPr="000B218D">
        <w:rPr>
          <w:rFonts w:ascii="Times New Roman" w:hAnsi="Times New Roman" w:cs="Times New Roman"/>
          <w:color w:val="000000" w:themeColor="text1"/>
          <w:sz w:val="22"/>
          <w:szCs w:val="22"/>
          <w:lang w:val="en-IE"/>
        </w:rPr>
        <w:t xml:space="preserve"> </w:t>
      </w:r>
      <w:r>
        <w:rPr>
          <w:rFonts w:ascii="Times New Roman" w:hAnsi="Times New Roman" w:cs="Times New Roman"/>
          <w:color w:val="000000" w:themeColor="text1"/>
          <w:sz w:val="22"/>
          <w:szCs w:val="22"/>
          <w:lang w:val="en-IE"/>
        </w:rPr>
        <w:t>(m</w:t>
      </w:r>
      <w:r w:rsidRPr="000B218D">
        <w:rPr>
          <w:rFonts w:ascii="Times New Roman" w:hAnsi="Times New Roman" w:cs="Times New Roman"/>
          <w:color w:val="000000" w:themeColor="text1"/>
          <w:sz w:val="22"/>
          <w:szCs w:val="22"/>
          <w:lang w:val="en-IE"/>
        </w:rPr>
        <w:t>agnification 100x</w:t>
      </w:r>
      <w:r>
        <w:rPr>
          <w:rFonts w:ascii="Times New Roman" w:hAnsi="Times New Roman" w:cs="Times New Roman"/>
          <w:color w:val="000000" w:themeColor="text1"/>
          <w:sz w:val="22"/>
          <w:szCs w:val="22"/>
          <w:lang w:val="en-IE"/>
        </w:rPr>
        <w:t>)</w:t>
      </w:r>
      <w:r w:rsidRPr="000B218D">
        <w:rPr>
          <w:rFonts w:ascii="Times New Roman" w:hAnsi="Times New Roman" w:cs="Times New Roman"/>
          <w:color w:val="000000" w:themeColor="text1"/>
          <w:sz w:val="22"/>
          <w:szCs w:val="22"/>
          <w:lang w:val="en-IE"/>
        </w:rPr>
        <w:t>. Untreated and treated (40 µM 5-FU for 48 hours)</w:t>
      </w:r>
      <w:r>
        <w:rPr>
          <w:rFonts w:ascii="Times New Roman" w:hAnsi="Times New Roman" w:cs="Times New Roman"/>
          <w:color w:val="000000" w:themeColor="text1"/>
          <w:sz w:val="22"/>
          <w:szCs w:val="22"/>
          <w:lang w:val="en-IE"/>
        </w:rPr>
        <w:t xml:space="preserve"> (</w:t>
      </w:r>
      <w:r w:rsidRPr="008D5278">
        <w:rPr>
          <w:rFonts w:ascii="Times New Roman" w:hAnsi="Times New Roman" w:cs="Times New Roman"/>
          <w:b/>
          <w:color w:val="000000" w:themeColor="text1"/>
          <w:sz w:val="22"/>
          <w:szCs w:val="22"/>
          <w:lang w:val="en-IE"/>
        </w:rPr>
        <w:t>C</w:t>
      </w:r>
      <w:r>
        <w:rPr>
          <w:rFonts w:ascii="Times New Roman" w:hAnsi="Times New Roman" w:cs="Times New Roman"/>
          <w:color w:val="000000" w:themeColor="text1"/>
          <w:sz w:val="22"/>
          <w:szCs w:val="22"/>
          <w:lang w:val="en-IE"/>
        </w:rPr>
        <w:t>)</w:t>
      </w:r>
      <w:r w:rsidRPr="000B218D">
        <w:rPr>
          <w:rFonts w:ascii="Times New Roman" w:hAnsi="Times New Roman" w:cs="Times New Roman"/>
          <w:color w:val="000000" w:themeColor="text1"/>
          <w:sz w:val="22"/>
          <w:szCs w:val="22"/>
          <w:lang w:val="en-IE"/>
        </w:rPr>
        <w:t xml:space="preserve"> OE21</w:t>
      </w:r>
      <w:r>
        <w:rPr>
          <w:rFonts w:ascii="Times New Roman" w:hAnsi="Times New Roman" w:cs="Times New Roman"/>
          <w:color w:val="000000" w:themeColor="text1"/>
          <w:sz w:val="22"/>
          <w:szCs w:val="22"/>
          <w:lang w:val="en-IE"/>
        </w:rPr>
        <w:t xml:space="preserve"> </w:t>
      </w:r>
      <w:r w:rsidRPr="000B218D">
        <w:rPr>
          <w:rFonts w:ascii="Times New Roman" w:hAnsi="Times New Roman" w:cs="Times New Roman"/>
          <w:color w:val="000000" w:themeColor="text1"/>
          <w:sz w:val="22"/>
          <w:szCs w:val="22"/>
          <w:lang w:val="en-IE"/>
        </w:rPr>
        <w:t>and</w:t>
      </w:r>
      <w:r>
        <w:rPr>
          <w:rFonts w:ascii="Times New Roman" w:hAnsi="Times New Roman" w:cs="Times New Roman"/>
          <w:color w:val="000000" w:themeColor="text1"/>
          <w:sz w:val="22"/>
          <w:szCs w:val="22"/>
          <w:lang w:val="en-IE"/>
        </w:rPr>
        <w:t xml:space="preserve"> (</w:t>
      </w:r>
      <w:r w:rsidRPr="008D5278">
        <w:rPr>
          <w:rFonts w:ascii="Times New Roman" w:hAnsi="Times New Roman" w:cs="Times New Roman"/>
          <w:b/>
          <w:color w:val="000000" w:themeColor="text1"/>
          <w:sz w:val="22"/>
          <w:szCs w:val="22"/>
          <w:lang w:val="en-IE"/>
        </w:rPr>
        <w:t>D</w:t>
      </w:r>
      <w:r>
        <w:rPr>
          <w:rFonts w:ascii="Times New Roman" w:hAnsi="Times New Roman" w:cs="Times New Roman"/>
          <w:color w:val="000000" w:themeColor="text1"/>
          <w:sz w:val="22"/>
          <w:szCs w:val="22"/>
          <w:lang w:val="en-IE"/>
        </w:rPr>
        <w:t xml:space="preserve">) </w:t>
      </w:r>
      <w:r w:rsidRPr="000B218D">
        <w:rPr>
          <w:rFonts w:ascii="Times New Roman" w:hAnsi="Times New Roman" w:cs="Times New Roman"/>
          <w:color w:val="000000" w:themeColor="text1"/>
          <w:sz w:val="22"/>
          <w:szCs w:val="22"/>
          <w:lang w:val="en-IE"/>
        </w:rPr>
        <w:t>KYSE450 cells were fixed and stained for LC3B. Immunofluorescence analysis of OE21 cells shows little if any staining with anti-LC3B, either pre- or post-treatment. In contrast, a small number of KYSE450 cells display LC3B staining, prior to treatment, while the extent and intensity of LC3B staining is signifi</w:t>
      </w:r>
      <w:r>
        <w:rPr>
          <w:rFonts w:ascii="Times New Roman" w:hAnsi="Times New Roman" w:cs="Times New Roman"/>
          <w:color w:val="000000" w:themeColor="text1"/>
          <w:sz w:val="22"/>
          <w:szCs w:val="22"/>
          <w:lang w:val="en-IE"/>
        </w:rPr>
        <w:t>cantly increased post treatment</w:t>
      </w:r>
      <w:r w:rsidRPr="000B218D">
        <w:rPr>
          <w:rFonts w:ascii="Times New Roman" w:hAnsi="Times New Roman" w:cs="Times New Roman"/>
          <w:color w:val="000000" w:themeColor="text1"/>
          <w:sz w:val="22"/>
          <w:szCs w:val="22"/>
          <w:lang w:val="en-IE"/>
        </w:rPr>
        <w:t xml:space="preserve"> </w:t>
      </w:r>
      <w:r>
        <w:rPr>
          <w:rFonts w:ascii="Times New Roman" w:hAnsi="Times New Roman" w:cs="Times New Roman"/>
          <w:color w:val="000000" w:themeColor="text1"/>
          <w:sz w:val="22"/>
          <w:szCs w:val="22"/>
          <w:lang w:val="en-IE"/>
        </w:rPr>
        <w:t>(m</w:t>
      </w:r>
      <w:r w:rsidRPr="000B218D">
        <w:rPr>
          <w:rFonts w:ascii="Times New Roman" w:hAnsi="Times New Roman" w:cs="Times New Roman"/>
          <w:color w:val="000000" w:themeColor="text1"/>
          <w:sz w:val="22"/>
          <w:szCs w:val="22"/>
          <w:lang w:val="en-IE"/>
        </w:rPr>
        <w:t>agnification 400x</w:t>
      </w:r>
      <w:r>
        <w:rPr>
          <w:rFonts w:ascii="Times New Roman" w:hAnsi="Times New Roman" w:cs="Times New Roman"/>
          <w:color w:val="000000" w:themeColor="text1"/>
          <w:sz w:val="22"/>
          <w:szCs w:val="22"/>
          <w:lang w:val="en-IE"/>
        </w:rPr>
        <w:t>)</w:t>
      </w:r>
      <w:r w:rsidRPr="000B218D">
        <w:rPr>
          <w:rFonts w:ascii="Times New Roman" w:hAnsi="Times New Roman" w:cs="Times New Roman"/>
          <w:color w:val="000000" w:themeColor="text1"/>
          <w:sz w:val="22"/>
          <w:szCs w:val="22"/>
          <w:lang w:val="en-IE"/>
        </w:rPr>
        <w:t xml:space="preserve">. </w:t>
      </w:r>
      <w:r w:rsidRPr="000B218D">
        <w:rPr>
          <w:rFonts w:ascii="Times New Roman" w:hAnsi="Times New Roman" w:cs="Times New Roman"/>
          <w:color w:val="auto"/>
          <w:sz w:val="22"/>
          <w:szCs w:val="22"/>
        </w:rPr>
        <w:t>(</w:t>
      </w:r>
      <w:proofErr w:type="spellStart"/>
      <w:r w:rsidRPr="000B218D">
        <w:rPr>
          <w:rFonts w:ascii="Times New Roman" w:hAnsi="Times New Roman" w:cs="Times New Roman"/>
          <w:color w:val="auto"/>
          <w:sz w:val="22"/>
          <w:szCs w:val="22"/>
        </w:rPr>
        <w:t>Cytospins</w:t>
      </w:r>
      <w:proofErr w:type="spellEnd"/>
      <w:r w:rsidRPr="000B218D">
        <w:rPr>
          <w:rFonts w:ascii="Times New Roman" w:hAnsi="Times New Roman" w:cs="Times New Roman"/>
          <w:color w:val="auto"/>
          <w:sz w:val="22"/>
          <w:szCs w:val="22"/>
        </w:rPr>
        <w:t xml:space="preserve"> were fixed in 4 % PFA for 20 minutes and washed with PBS. </w:t>
      </w:r>
      <w:proofErr w:type="spellStart"/>
      <w:r w:rsidRPr="000B218D">
        <w:rPr>
          <w:rFonts w:ascii="Times New Roman" w:hAnsi="Times New Roman" w:cs="Times New Roman"/>
          <w:color w:val="auto"/>
          <w:sz w:val="22"/>
          <w:szCs w:val="22"/>
        </w:rPr>
        <w:t>Permeabilization</w:t>
      </w:r>
      <w:proofErr w:type="spellEnd"/>
      <w:r w:rsidRPr="000B218D">
        <w:rPr>
          <w:rFonts w:ascii="Times New Roman" w:hAnsi="Times New Roman" w:cs="Times New Roman"/>
          <w:color w:val="auto"/>
          <w:sz w:val="22"/>
          <w:szCs w:val="22"/>
        </w:rPr>
        <w:t xml:space="preserve"> was carried out with 0.2 % Triton X prior to staining with anti-LC3B).</w:t>
      </w:r>
      <w:r w:rsidRPr="004B67F8">
        <w:rPr>
          <w:rFonts w:ascii="Times New Roman" w:hAnsi="Times New Roman" w:cs="Times New Roman"/>
          <w:color w:val="auto"/>
        </w:rPr>
        <w:t xml:space="preserve"> </w:t>
      </w:r>
      <w:r>
        <w:rPr>
          <w:rFonts w:ascii="Times New Roman" w:hAnsi="Times New Roman" w:cs="Times New Roman"/>
          <w:color w:val="000000" w:themeColor="text1"/>
          <w:lang w:val="en-IE"/>
        </w:rPr>
        <w:t xml:space="preserve"> </w:t>
      </w:r>
    </w:p>
    <w:p w:rsidR="00342E1F" w:rsidRDefault="00342E1F" w:rsidP="00A83AB5">
      <w:pPr>
        <w:spacing w:before="240" w:line="480" w:lineRule="auto"/>
        <w:jc w:val="both"/>
        <w:rPr>
          <w:rFonts w:ascii="Times New Roman" w:hAnsi="Times New Roman" w:cs="Times New Roman"/>
        </w:rPr>
      </w:pPr>
    </w:p>
    <w:p w:rsidR="00225549" w:rsidRDefault="00EE26C1"/>
    <w:sectPr w:rsidR="00225549" w:rsidSect="00FB7F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83AB5"/>
    <w:rsid w:val="000B218D"/>
    <w:rsid w:val="00151C19"/>
    <w:rsid w:val="00166038"/>
    <w:rsid w:val="00254B8C"/>
    <w:rsid w:val="00342E1F"/>
    <w:rsid w:val="0045790C"/>
    <w:rsid w:val="005667A9"/>
    <w:rsid w:val="006E33D0"/>
    <w:rsid w:val="008D5278"/>
    <w:rsid w:val="00A83AB5"/>
    <w:rsid w:val="00B02405"/>
    <w:rsid w:val="00C32591"/>
    <w:rsid w:val="00E06736"/>
    <w:rsid w:val="00E07C1C"/>
    <w:rsid w:val="00EC68B9"/>
    <w:rsid w:val="00EE26C1"/>
    <w:rsid w:val="00FB7F0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B5"/>
    <w:pPr>
      <w:suppressAutoHyphens/>
      <w:spacing w:after="0" w:line="240" w:lineRule="auto"/>
    </w:pPr>
    <w:rPr>
      <w:rFonts w:ascii="Calibri" w:eastAsia="Arial Unicode MS" w:hAnsi="Calibri" w:cs="Calibri"/>
      <w:color w:val="000000"/>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AB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Tracey</dc:creator>
  <cp:lastModifiedBy>RCSIAdmin</cp:lastModifiedBy>
  <cp:revision>2</cp:revision>
  <dcterms:created xsi:type="dcterms:W3CDTF">2015-08-18T11:58:00Z</dcterms:created>
  <dcterms:modified xsi:type="dcterms:W3CDTF">2015-08-18T11:58:00Z</dcterms:modified>
</cp:coreProperties>
</file>