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87DCA" w14:textId="50584F1B" w:rsidR="00D905D1" w:rsidRDefault="00F44FE2" w:rsidP="00F44FE2">
      <w:pPr>
        <w:rPr>
          <w:b/>
          <w:sz w:val="28"/>
        </w:rPr>
      </w:pPr>
      <w:bookmarkStart w:id="0" w:name="_Toc332133098"/>
      <w:bookmarkStart w:id="1" w:name="_Toc510971216"/>
      <w:bookmarkStart w:id="2" w:name="_Toc434796461"/>
      <w:bookmarkStart w:id="3" w:name="_Toc434962804"/>
      <w:bookmarkStart w:id="4" w:name="_Toc434796455"/>
      <w:bookmarkStart w:id="5" w:name="_Toc434962798"/>
      <w:bookmarkStart w:id="6" w:name="_Toc436195961"/>
      <w:bookmarkStart w:id="7" w:name="_Toc436194388"/>
      <w:bookmarkStart w:id="8" w:name="_Toc436194478"/>
      <w:bookmarkStart w:id="9" w:name="_Toc436194509"/>
      <w:bookmarkStart w:id="10" w:name="_GoBack"/>
      <w:bookmarkEnd w:id="10"/>
      <w:r w:rsidRPr="00D86888">
        <w:rPr>
          <w:b/>
          <w:sz w:val="28"/>
        </w:rPr>
        <w:t xml:space="preserve">Collagen scaffolds functionalised with copper-eluting bioactive glass </w:t>
      </w:r>
      <w:r w:rsidR="00D905D1">
        <w:rPr>
          <w:b/>
          <w:sz w:val="28"/>
        </w:rPr>
        <w:t xml:space="preserve">reduce infection and enhance osteogenesis and angiogenesis </w:t>
      </w:r>
      <w:r w:rsidR="00AA097C">
        <w:rPr>
          <w:b/>
          <w:sz w:val="28"/>
        </w:rPr>
        <w:t xml:space="preserve">both </w:t>
      </w:r>
      <w:r w:rsidR="00D905D1">
        <w:rPr>
          <w:b/>
          <w:sz w:val="28"/>
        </w:rPr>
        <w:t>in vitro and in vivo</w:t>
      </w:r>
    </w:p>
    <w:p w14:paraId="382AF6AC" w14:textId="77777777" w:rsidR="00F44FE2" w:rsidRPr="00D86888" w:rsidRDefault="00F44FE2" w:rsidP="00F44FE2">
      <w:pPr>
        <w:rPr>
          <w:b/>
        </w:rPr>
      </w:pPr>
    </w:p>
    <w:p w14:paraId="6345EAB1" w14:textId="3C23BA68" w:rsidR="00F44FE2" w:rsidRPr="00D86888" w:rsidRDefault="00F44FE2" w:rsidP="00F44FE2">
      <w:pPr>
        <w:widowControl w:val="0"/>
        <w:jc w:val="center"/>
      </w:pPr>
      <w:r w:rsidRPr="00D86888">
        <w:t>E</w:t>
      </w:r>
      <w:r w:rsidR="00DC3E08" w:rsidRPr="00D86888">
        <w:t>.</w:t>
      </w:r>
      <w:r w:rsidRPr="00D86888">
        <w:t>J</w:t>
      </w:r>
      <w:r w:rsidR="00DC3E08" w:rsidRPr="00D86888">
        <w:t>.</w:t>
      </w:r>
      <w:r w:rsidRPr="00D86888">
        <w:t xml:space="preserve"> Ryan</w:t>
      </w:r>
      <w:r w:rsidRPr="00D86888">
        <w:rPr>
          <w:vertAlign w:val="superscript"/>
        </w:rPr>
        <w:t>1,2,3</w:t>
      </w:r>
      <w:r w:rsidRPr="00D86888">
        <w:t>, A</w:t>
      </w:r>
      <w:r w:rsidR="00DC3E08" w:rsidRPr="00D86888">
        <w:t>.</w:t>
      </w:r>
      <w:r w:rsidRPr="00D86888">
        <w:t>J</w:t>
      </w:r>
      <w:r w:rsidR="00DC3E08" w:rsidRPr="00D86888">
        <w:t>.</w:t>
      </w:r>
      <w:r w:rsidRPr="00D86888">
        <w:t xml:space="preserve"> </w:t>
      </w:r>
      <w:r w:rsidRPr="004D5029">
        <w:t>Ryan</w:t>
      </w:r>
      <w:r w:rsidRPr="004D5029">
        <w:rPr>
          <w:vertAlign w:val="superscript"/>
        </w:rPr>
        <w:t>1,3,4</w:t>
      </w:r>
      <w:r w:rsidRPr="004D5029">
        <w:t xml:space="preserve">, </w:t>
      </w:r>
      <w:r w:rsidR="00137FBD" w:rsidRPr="004D5029">
        <w:t>A. González-Vázquez</w:t>
      </w:r>
      <w:r w:rsidR="00137FBD" w:rsidRPr="004D5029">
        <w:rPr>
          <w:vertAlign w:val="superscript"/>
        </w:rPr>
        <w:t>1,3</w:t>
      </w:r>
      <w:r w:rsidR="00137FBD" w:rsidRPr="004D5029">
        <w:t xml:space="preserve">, </w:t>
      </w:r>
      <w:r w:rsidRPr="004D5029">
        <w:t>A</w:t>
      </w:r>
      <w:r w:rsidR="00DC3E08" w:rsidRPr="004D5029">
        <w:t>.</w:t>
      </w:r>
      <w:r w:rsidRPr="004D5029">
        <w:t xml:space="preserve"> Philippart</w:t>
      </w:r>
      <w:r w:rsidRPr="004D5029">
        <w:rPr>
          <w:vertAlign w:val="superscript"/>
        </w:rPr>
        <w:t>5</w:t>
      </w:r>
      <w:r w:rsidRPr="00D86888">
        <w:t>, F</w:t>
      </w:r>
      <w:r w:rsidR="00DC3E08" w:rsidRPr="00D86888">
        <w:t>.</w:t>
      </w:r>
      <w:r w:rsidRPr="00D86888">
        <w:t>E</w:t>
      </w:r>
      <w:r w:rsidR="00DC3E08" w:rsidRPr="00D86888">
        <w:t>.</w:t>
      </w:r>
      <w:r w:rsidRPr="00D86888">
        <w:t xml:space="preserve"> Ciraldo</w:t>
      </w:r>
      <w:r w:rsidRPr="00D86888">
        <w:rPr>
          <w:vertAlign w:val="superscript"/>
        </w:rPr>
        <w:t>5</w:t>
      </w:r>
      <w:r w:rsidRPr="00D86888">
        <w:t>, C</w:t>
      </w:r>
      <w:r w:rsidR="00DC3E08" w:rsidRPr="00D86888">
        <w:t>.</w:t>
      </w:r>
      <w:r w:rsidRPr="00D86888">
        <w:t xml:space="preserve"> Hobbs</w:t>
      </w:r>
      <w:r w:rsidRPr="00D86888">
        <w:rPr>
          <w:vertAlign w:val="superscript"/>
        </w:rPr>
        <w:t>4,6,8</w:t>
      </w:r>
      <w:r w:rsidRPr="00D86888">
        <w:t>, V</w:t>
      </w:r>
      <w:r w:rsidR="00DC3E08" w:rsidRPr="00D86888">
        <w:t xml:space="preserve">. </w:t>
      </w:r>
      <w:r w:rsidRPr="00D86888">
        <w:t>Nicolosi</w:t>
      </w:r>
      <w:r w:rsidRPr="00D86888">
        <w:rPr>
          <w:vertAlign w:val="superscript"/>
        </w:rPr>
        <w:t>4,7,8</w:t>
      </w:r>
      <w:r w:rsidRPr="00D86888">
        <w:t>, A</w:t>
      </w:r>
      <w:r w:rsidR="00DC3E08" w:rsidRPr="00D86888">
        <w:t>.</w:t>
      </w:r>
      <w:r w:rsidRPr="00D86888">
        <w:t>R</w:t>
      </w:r>
      <w:r w:rsidR="00DC3E08" w:rsidRPr="00D86888">
        <w:t>.</w:t>
      </w:r>
      <w:r w:rsidRPr="00D86888">
        <w:t xml:space="preserve"> Boccaccini</w:t>
      </w:r>
      <w:r w:rsidRPr="00D86888">
        <w:rPr>
          <w:vertAlign w:val="superscript"/>
        </w:rPr>
        <w:t>5</w:t>
      </w:r>
      <w:r w:rsidRPr="00D86888">
        <w:t>, C</w:t>
      </w:r>
      <w:r w:rsidR="00DC3E08" w:rsidRPr="00D86888">
        <w:t>.</w:t>
      </w:r>
      <w:r w:rsidRPr="00D86888">
        <w:t>J</w:t>
      </w:r>
      <w:r w:rsidR="00DC3E08" w:rsidRPr="00D86888">
        <w:t>.</w:t>
      </w:r>
      <w:r w:rsidRPr="00D86888">
        <w:t xml:space="preserve"> Kearney</w:t>
      </w:r>
      <w:r w:rsidRPr="00D86888">
        <w:rPr>
          <w:vertAlign w:val="superscript"/>
        </w:rPr>
        <w:t>1,2,3,4</w:t>
      </w:r>
      <w:r w:rsidRPr="00D86888">
        <w:t>, F</w:t>
      </w:r>
      <w:r w:rsidR="00DC3E08" w:rsidRPr="00D86888">
        <w:t>.</w:t>
      </w:r>
      <w:r w:rsidRPr="00D86888">
        <w:t>J</w:t>
      </w:r>
      <w:r w:rsidR="00DC3E08" w:rsidRPr="00D86888">
        <w:t>.</w:t>
      </w:r>
      <w:r w:rsidRPr="00D86888">
        <w:t xml:space="preserve"> O’Brien</w:t>
      </w:r>
      <w:r w:rsidRPr="00D86888">
        <w:rPr>
          <w:vertAlign w:val="superscript"/>
        </w:rPr>
        <w:t>1,3,4,</w:t>
      </w:r>
      <w:r w:rsidRPr="00D86888">
        <w:t>*</w:t>
      </w:r>
    </w:p>
    <w:p w14:paraId="0C4969B6" w14:textId="77777777" w:rsidR="00F44FE2" w:rsidRPr="00D86888" w:rsidRDefault="00F44FE2" w:rsidP="00F44FE2">
      <w:pPr>
        <w:widowControl w:val="0"/>
        <w:jc w:val="center"/>
      </w:pPr>
    </w:p>
    <w:p w14:paraId="776923AF" w14:textId="77777777" w:rsidR="00F44FE2" w:rsidRPr="00D86888" w:rsidRDefault="00F44FE2" w:rsidP="00F44FE2">
      <w:pPr>
        <w:widowControl w:val="0"/>
        <w:jc w:val="center"/>
      </w:pPr>
    </w:p>
    <w:p w14:paraId="178AF619" w14:textId="77777777" w:rsidR="00F44FE2" w:rsidRPr="00D86888" w:rsidRDefault="00F44FE2" w:rsidP="00F44FE2">
      <w:pPr>
        <w:widowControl w:val="0"/>
      </w:pPr>
      <w:r w:rsidRPr="00D86888">
        <w:rPr>
          <w:vertAlign w:val="superscript"/>
        </w:rPr>
        <w:t>1</w:t>
      </w:r>
      <w:r w:rsidRPr="00D86888">
        <w:t>Tissue Engineering Research Group (</w:t>
      </w:r>
      <w:r w:rsidRPr="0032104F">
        <w:rPr>
          <w:noProof/>
        </w:rPr>
        <w:t>TERG</w:t>
      </w:r>
      <w:r w:rsidRPr="00D86888">
        <w:t xml:space="preserve">), Dept. of Anatomy, Royal College of Surgeons in Ireland (RCSI), Dublin, Ireland, </w:t>
      </w:r>
      <w:r w:rsidRPr="00D86888">
        <w:rPr>
          <w:vertAlign w:val="superscript"/>
        </w:rPr>
        <w:t>2</w:t>
      </w:r>
      <w:r w:rsidRPr="00D86888">
        <w:t xml:space="preserve">Kearney Lab, Royal College of Surgeons in Ireland (RCSI), Dublin, Ireland, </w:t>
      </w:r>
      <w:r w:rsidRPr="00D86888">
        <w:rPr>
          <w:vertAlign w:val="superscript"/>
        </w:rPr>
        <w:t>3</w:t>
      </w:r>
      <w:r w:rsidRPr="00D86888">
        <w:t xml:space="preserve">Trinity Centre for BioEngineering (TCBE), Trinity College Dublin (TCD), Dublin, Ireland, </w:t>
      </w:r>
      <w:r w:rsidRPr="00D86888">
        <w:rPr>
          <w:vertAlign w:val="superscript"/>
        </w:rPr>
        <w:t>4</w:t>
      </w:r>
      <w:r w:rsidRPr="00D86888">
        <w:t xml:space="preserve">Advanced Materials and BioEngineering Research (AMBER), RCSI &amp; TCD, Dublin, Ireland, </w:t>
      </w:r>
      <w:r w:rsidRPr="00D86888">
        <w:rPr>
          <w:vertAlign w:val="superscript"/>
        </w:rPr>
        <w:t>5</w:t>
      </w:r>
      <w:r w:rsidRPr="00D86888">
        <w:t xml:space="preserve">Institute of Biomaterials, University of Erlangen-Nuremberg, Germany, </w:t>
      </w:r>
      <w:r w:rsidRPr="00D86888">
        <w:rPr>
          <w:vertAlign w:val="superscript"/>
        </w:rPr>
        <w:t>6</w:t>
      </w:r>
      <w:r w:rsidRPr="00D86888">
        <w:t xml:space="preserve">School of Physics, TCD, Dublin, Ireland, </w:t>
      </w:r>
      <w:r w:rsidRPr="00D86888">
        <w:rPr>
          <w:vertAlign w:val="superscript"/>
        </w:rPr>
        <w:t>7</w:t>
      </w:r>
      <w:r w:rsidRPr="00D86888">
        <w:t xml:space="preserve">School of Chemistry, TCD, Dublin, Ireland </w:t>
      </w:r>
      <w:r w:rsidRPr="00D86888">
        <w:rPr>
          <w:vertAlign w:val="superscript"/>
        </w:rPr>
        <w:t>8</w:t>
      </w:r>
      <w:r w:rsidRPr="00D86888">
        <w:t>Centre for Research on Adaptive Nanostructures and Nanodevices (CRANN), TCD, Dublin, Ireland.</w:t>
      </w:r>
    </w:p>
    <w:p w14:paraId="490FEAEF" w14:textId="77777777" w:rsidR="00F44FE2" w:rsidRPr="00D86888" w:rsidRDefault="00F44FE2" w:rsidP="00F44FE2">
      <w:pPr>
        <w:widowControl w:val="0"/>
      </w:pPr>
    </w:p>
    <w:p w14:paraId="02B4A21A" w14:textId="77777777" w:rsidR="00F44FE2" w:rsidRPr="00D86888" w:rsidRDefault="00F44FE2" w:rsidP="00F44FE2">
      <w:pPr>
        <w:widowControl w:val="0"/>
      </w:pPr>
    </w:p>
    <w:p w14:paraId="66BB79AA" w14:textId="77777777" w:rsidR="002F2FC5" w:rsidRPr="00D86888" w:rsidRDefault="002F2FC5" w:rsidP="00F44FE2">
      <w:pPr>
        <w:widowControl w:val="0"/>
        <w:jc w:val="left"/>
      </w:pPr>
      <w:r w:rsidRPr="00D86888">
        <w:t>* Corresponding author: Fergal J O’Brien,</w:t>
      </w:r>
    </w:p>
    <w:p w14:paraId="41374DC5" w14:textId="77777777" w:rsidR="002F2FC5" w:rsidRPr="00D86888" w:rsidRDefault="002F2FC5" w:rsidP="00F44FE2">
      <w:pPr>
        <w:widowControl w:val="0"/>
        <w:jc w:val="left"/>
      </w:pPr>
      <w:r w:rsidRPr="00D86888">
        <w:t>Royal College of Surgeons in Ireland,</w:t>
      </w:r>
    </w:p>
    <w:p w14:paraId="01AF5556" w14:textId="77777777" w:rsidR="002F2FC5" w:rsidRPr="00D86888" w:rsidRDefault="002F2FC5" w:rsidP="00F44FE2">
      <w:pPr>
        <w:widowControl w:val="0"/>
        <w:jc w:val="left"/>
      </w:pPr>
      <w:r w:rsidRPr="00D86888">
        <w:t>123 St. Stephens Green,</w:t>
      </w:r>
    </w:p>
    <w:p w14:paraId="3E6984C2" w14:textId="77777777" w:rsidR="002F2FC5" w:rsidRPr="00D86888" w:rsidRDefault="002F2FC5" w:rsidP="00F44FE2">
      <w:pPr>
        <w:widowControl w:val="0"/>
        <w:jc w:val="left"/>
      </w:pPr>
      <w:r w:rsidRPr="00D86888">
        <w:t xml:space="preserve">Dublin 2, </w:t>
      </w:r>
    </w:p>
    <w:p w14:paraId="7116C903" w14:textId="77777777" w:rsidR="00F44FE2" w:rsidRPr="00D86888" w:rsidRDefault="002F2FC5" w:rsidP="00F44FE2">
      <w:pPr>
        <w:widowControl w:val="0"/>
        <w:jc w:val="left"/>
      </w:pPr>
      <w:r w:rsidRPr="00D86888">
        <w:t xml:space="preserve">Dublin, Ireland. </w:t>
      </w:r>
      <w:r w:rsidR="00F44FE2" w:rsidRPr="00D86888">
        <w:br/>
      </w:r>
      <w:r w:rsidR="00F44FE2" w:rsidRPr="00D86888">
        <w:rPr>
          <w:i/>
        </w:rPr>
        <w:t>Email address:</w:t>
      </w:r>
      <w:r w:rsidR="00F44FE2" w:rsidRPr="00D86888">
        <w:t xml:space="preserve"> </w:t>
      </w:r>
      <w:hyperlink r:id="rId8" w:history="1">
        <w:r w:rsidR="00F44FE2" w:rsidRPr="00D86888">
          <w:rPr>
            <w:rStyle w:val="Hyperlink"/>
          </w:rPr>
          <w:t>fjobrien@rcsi.ie</w:t>
        </w:r>
      </w:hyperlink>
    </w:p>
    <w:p w14:paraId="122A7453" w14:textId="77777777" w:rsidR="00F44FE2" w:rsidRPr="00D86888" w:rsidRDefault="002F2FC5" w:rsidP="00F44FE2">
      <w:pPr>
        <w:widowControl w:val="0"/>
      </w:pPr>
      <w:r w:rsidRPr="00D86888">
        <w:rPr>
          <w:i/>
        </w:rPr>
        <w:t>Phone number:</w:t>
      </w:r>
      <w:r w:rsidRPr="00D86888">
        <w:t xml:space="preserve"> +353 1 402 2149</w:t>
      </w:r>
    </w:p>
    <w:p w14:paraId="01BD4DED" w14:textId="77777777" w:rsidR="00F44FE2" w:rsidRPr="00D86888" w:rsidRDefault="00F44FE2" w:rsidP="008E25F7"/>
    <w:p w14:paraId="5663324C" w14:textId="77777777" w:rsidR="008E25F7" w:rsidRPr="00D86888" w:rsidRDefault="008E25F7" w:rsidP="008E25F7"/>
    <w:p w14:paraId="368D661A" w14:textId="77777777" w:rsidR="00F44FE2" w:rsidRPr="00D86888" w:rsidRDefault="00B979E2">
      <w:pPr>
        <w:spacing w:after="200" w:line="276" w:lineRule="auto"/>
        <w:jc w:val="left"/>
        <w:rPr>
          <w:rFonts w:eastAsiaTheme="majorEastAsia" w:cstheme="majorBidi"/>
          <w:b/>
          <w:sz w:val="28"/>
          <w:szCs w:val="26"/>
        </w:rPr>
      </w:pPr>
      <w:r w:rsidRPr="00D86888">
        <w:rPr>
          <w:b/>
        </w:rPr>
        <w:t>Running title:</w:t>
      </w:r>
      <w:r w:rsidRPr="00D86888">
        <w:t xml:space="preserve"> </w:t>
      </w:r>
      <w:r w:rsidRPr="00D86888">
        <w:rPr>
          <w:i/>
        </w:rPr>
        <w:t>Copper-doped bioactive glass scaffold for osteomyelitis</w:t>
      </w:r>
      <w:r w:rsidR="00F44FE2" w:rsidRPr="00D86888">
        <w:br w:type="page"/>
      </w:r>
    </w:p>
    <w:p w14:paraId="6992D1C7" w14:textId="77777777" w:rsidR="00F44FE2" w:rsidRPr="00D86888" w:rsidRDefault="00F44FE2" w:rsidP="00F44FE2">
      <w:pPr>
        <w:rPr>
          <w:b/>
          <w:sz w:val="28"/>
        </w:rPr>
      </w:pPr>
      <w:r w:rsidRPr="00D86888">
        <w:rPr>
          <w:b/>
          <w:sz w:val="28"/>
        </w:rPr>
        <w:lastRenderedPageBreak/>
        <w:t>Abstract</w:t>
      </w:r>
    </w:p>
    <w:p w14:paraId="7A6EB323" w14:textId="469BFAB9" w:rsidR="001803B1" w:rsidRPr="00523355" w:rsidRDefault="001803B1" w:rsidP="001803B1">
      <w:r w:rsidRPr="00523355">
        <w:t>The bone infection osteomyelitis (typically</w:t>
      </w:r>
      <w:r w:rsidR="00415D9D">
        <w:t xml:space="preserve"> by</w:t>
      </w:r>
      <w:r w:rsidRPr="00523355">
        <w:t xml:space="preserve"> </w:t>
      </w:r>
      <w:r w:rsidRPr="00523355">
        <w:rPr>
          <w:i/>
        </w:rPr>
        <w:t>Staphylococcus aureus</w:t>
      </w:r>
      <w:r w:rsidRPr="00523355">
        <w:t>) usually requires a multistep procedure of surgical debridement</w:t>
      </w:r>
      <w:r>
        <w:t>,</w:t>
      </w:r>
      <w:r w:rsidRPr="00523355">
        <w:t xml:space="preserve"> long-term systemic high-dose antibiotics, and</w:t>
      </w:r>
      <w:r w:rsidR="00415D9D">
        <w:t xml:space="preserve"> –</w:t>
      </w:r>
      <w:r w:rsidRPr="00523355">
        <w:t xml:space="preserve"> </w:t>
      </w:r>
      <w:r>
        <w:t>for larger defects</w:t>
      </w:r>
      <w:r w:rsidR="00415D9D">
        <w:t xml:space="preserve"> –</w:t>
      </w:r>
      <w:r>
        <w:t xml:space="preserve"> </w:t>
      </w:r>
      <w:r w:rsidRPr="00523355">
        <w:t>bone grafting</w:t>
      </w:r>
      <w:r>
        <w:t>.</w:t>
      </w:r>
      <w:r w:rsidRPr="00523355">
        <w:t xml:space="preserve"> </w:t>
      </w:r>
      <w:r>
        <w:t>This, combined with the alarming rise in</w:t>
      </w:r>
      <w:r w:rsidRPr="00523355">
        <w:t xml:space="preserve"> a</w:t>
      </w:r>
      <w:r>
        <w:t xml:space="preserve">ntibiotic resistance, </w:t>
      </w:r>
      <w:r w:rsidR="00415D9D">
        <w:t xml:space="preserve">necessitates </w:t>
      </w:r>
      <w:r w:rsidR="00415D9D" w:rsidRPr="001C3AA5">
        <w:rPr>
          <w:noProof/>
        </w:rPr>
        <w:t>development</w:t>
      </w:r>
      <w:r w:rsidR="00415D9D">
        <w:t xml:space="preserve"> of</w:t>
      </w:r>
      <w:r>
        <w:t xml:space="preserve"> alternative approaches. </w:t>
      </w:r>
      <w:r w:rsidR="002E2467">
        <w:t>Herein, we describe a one-</w:t>
      </w:r>
      <w:r w:rsidRPr="00523355">
        <w:t xml:space="preserve">step treatment for osteomyelitis that combines local, controlled release of non-antibiotic antibacterials </w:t>
      </w:r>
      <w:r w:rsidR="00415D9D">
        <w:t>with</w:t>
      </w:r>
      <w:r w:rsidRPr="00523355">
        <w:t xml:space="preserve"> a</w:t>
      </w:r>
      <w:r>
        <w:t xml:space="preserve"> r</w:t>
      </w:r>
      <w:r w:rsidRPr="00523355">
        <w:t>egenerative collagen</w:t>
      </w:r>
      <w:r w:rsidR="00415D9D">
        <w:t>-based</w:t>
      </w:r>
      <w:r w:rsidRPr="00523355">
        <w:t xml:space="preserve"> scaffold. To </w:t>
      </w:r>
      <w:r>
        <w:t>maximis</w:t>
      </w:r>
      <w:r w:rsidRPr="00523355">
        <w:t>e efficacy, we utili</w:t>
      </w:r>
      <w:r>
        <w:t>s</w:t>
      </w:r>
      <w:r w:rsidRPr="00523355">
        <w:t>ed bioactive glass</w:t>
      </w:r>
      <w:r>
        <w:t>,</w:t>
      </w:r>
      <w:r w:rsidRPr="00523355">
        <w:t xml:space="preserve"> an established osteoconductive material with </w:t>
      </w:r>
      <w:r w:rsidRPr="001C3AA5">
        <w:rPr>
          <w:noProof/>
        </w:rPr>
        <w:t>immense</w:t>
      </w:r>
      <w:r w:rsidRPr="00523355">
        <w:t xml:space="preserve"> capacity for bone repair</w:t>
      </w:r>
      <w:r>
        <w:t>,</w:t>
      </w:r>
      <w:r w:rsidRPr="00523355">
        <w:t xml:space="preserve"> as a </w:t>
      </w:r>
      <w:r>
        <w:t>delivery platform for copper ion</w:t>
      </w:r>
      <w:r w:rsidR="004E130C">
        <w:t>s</w:t>
      </w:r>
      <w:r>
        <w:t xml:space="preserve"> (</w:t>
      </w:r>
      <w:r w:rsidR="004E130C">
        <w:t>proven</w:t>
      </w:r>
      <w:r w:rsidRPr="00523355">
        <w:t xml:space="preserve"> antibacterial, </w:t>
      </w:r>
      <w:r>
        <w:t>angiogenic, and osteogenic</w:t>
      </w:r>
      <w:r w:rsidR="004E130C">
        <w:t xml:space="preserve"> properties</w:t>
      </w:r>
      <w:r>
        <w:t>). M</w:t>
      </w:r>
      <w:r w:rsidRPr="00523355">
        <w:t>ultifunctional</w:t>
      </w:r>
      <w:r>
        <w:t xml:space="preserve"> collagen</w:t>
      </w:r>
      <w:r w:rsidR="002E2467">
        <w:t>-</w:t>
      </w:r>
      <w:r>
        <w:t xml:space="preserve"> copper-doped bioactive glass scaffolds</w:t>
      </w:r>
      <w:r w:rsidR="0086160C">
        <w:t xml:space="preserve"> (CuBG-CS)</w:t>
      </w:r>
      <w:r>
        <w:t xml:space="preserve"> were fabricated </w:t>
      </w:r>
      <w:r w:rsidRPr="00523355">
        <w:t>with favourable microarchitectural and mechanical properties (up to 1.9-fold increase in compressive modulus</w:t>
      </w:r>
      <w:r w:rsidR="004E130C">
        <w:t xml:space="preserve"> over CS</w:t>
      </w:r>
      <w:r w:rsidRPr="00523355">
        <w:t>) within the ideal range for bone tissue engineering.</w:t>
      </w:r>
      <w:r>
        <w:t xml:space="preserve"> </w:t>
      </w:r>
      <w:r w:rsidRPr="00523355">
        <w:t xml:space="preserve">Scaffolds </w:t>
      </w:r>
      <w:r>
        <w:t xml:space="preserve">demonstrated </w:t>
      </w:r>
      <w:r w:rsidRPr="00523355">
        <w:t xml:space="preserve">antibacterial activity against </w:t>
      </w:r>
      <w:r w:rsidRPr="00523355">
        <w:rPr>
          <w:i/>
        </w:rPr>
        <w:t>Staphylococcus aureus</w:t>
      </w:r>
      <w:r w:rsidRPr="00523355">
        <w:t xml:space="preserve"> (up to 66% inhibition) whilst also enhancing osteogenesis (up to 3.6-fold increase in calcium deposition) and angiogenesis in vitro. </w:t>
      </w:r>
      <w:r>
        <w:t>Most significantly, when assessed in a chick embryo in vivo model</w:t>
      </w:r>
      <w:r w:rsidR="0086160C">
        <w:t xml:space="preserve">, </w:t>
      </w:r>
      <w:r w:rsidR="002E2467">
        <w:t xml:space="preserve">CuBG-CS not only demonstrated biocompatibility, but also </w:t>
      </w:r>
      <w:r w:rsidR="003A0704">
        <w:t>a significant angiogenic and osteo</w:t>
      </w:r>
      <w:r w:rsidR="002E2467">
        <w:t>gen</w:t>
      </w:r>
      <w:r w:rsidR="003A0704">
        <w:t>ic response,</w:t>
      </w:r>
      <w:r w:rsidR="002E2467">
        <w:t xml:space="preserve"> </w:t>
      </w:r>
      <w:r w:rsidR="003A0704">
        <w:t>consistent with in vitro studies</w:t>
      </w:r>
      <w:r w:rsidR="002E2467">
        <w:t>. C</w:t>
      </w:r>
      <w:r w:rsidRPr="00523355">
        <w:t xml:space="preserve">ollectively, these results indicate that the </w:t>
      </w:r>
      <w:r w:rsidR="003A0704">
        <w:t>CuBG-CS</w:t>
      </w:r>
      <w:r w:rsidRPr="00523355">
        <w:t xml:space="preserve"> developed here show potential</w:t>
      </w:r>
      <w:r w:rsidR="004E130C">
        <w:t xml:space="preserve"> as a one-step</w:t>
      </w:r>
      <w:r w:rsidRPr="00523355">
        <w:t xml:space="preserve"> osteomyelitis treatment: reduc</w:t>
      </w:r>
      <w:r w:rsidR="004E130C">
        <w:t>ing</w:t>
      </w:r>
      <w:r w:rsidRPr="00523355">
        <w:t xml:space="preserve"> infection, whilst enhancing bone healing.</w:t>
      </w:r>
    </w:p>
    <w:p w14:paraId="0C950B50" w14:textId="77777777" w:rsidR="001803B1" w:rsidRDefault="001803B1" w:rsidP="001803B1"/>
    <w:p w14:paraId="0A9E71A2" w14:textId="77777777" w:rsidR="00F44FE2" w:rsidRPr="00D86888" w:rsidRDefault="00F44FE2" w:rsidP="00F44FE2">
      <w:pPr>
        <w:rPr>
          <w:b/>
          <w:sz w:val="28"/>
        </w:rPr>
      </w:pPr>
      <w:r w:rsidRPr="00D86888">
        <w:rPr>
          <w:b/>
          <w:sz w:val="28"/>
        </w:rPr>
        <w:t>Keywords</w:t>
      </w:r>
    </w:p>
    <w:p w14:paraId="7B7A1230" w14:textId="77777777" w:rsidR="00F44FE2" w:rsidRPr="00D86888" w:rsidRDefault="00F44FE2" w:rsidP="00F44FE2">
      <w:r w:rsidRPr="00D86888">
        <w:t xml:space="preserve">Osteomyelitis, copper, bioactive glass, antibacterial, osteogenesis, angiogenesis </w:t>
      </w:r>
    </w:p>
    <w:p w14:paraId="1518C070" w14:textId="77777777" w:rsidR="00F44FE2" w:rsidRPr="00D86888" w:rsidRDefault="00F44FE2">
      <w:pPr>
        <w:spacing w:after="200" w:line="276" w:lineRule="auto"/>
        <w:jc w:val="left"/>
        <w:rPr>
          <w:rFonts w:eastAsiaTheme="majorEastAsia" w:cstheme="majorBidi"/>
          <w:b/>
          <w:sz w:val="28"/>
          <w:szCs w:val="26"/>
        </w:rPr>
      </w:pPr>
      <w:r w:rsidRPr="00D86888">
        <w:br w:type="page"/>
      </w:r>
    </w:p>
    <w:p w14:paraId="719B4C0C" w14:textId="77777777" w:rsidR="008579D0" w:rsidRPr="00D86888" w:rsidRDefault="008579D0" w:rsidP="00432F4E">
      <w:pPr>
        <w:pStyle w:val="Heading2"/>
      </w:pPr>
      <w:r w:rsidRPr="00D86888">
        <w:lastRenderedPageBreak/>
        <w:t>Introduction</w:t>
      </w:r>
      <w:bookmarkEnd w:id="0"/>
      <w:bookmarkEnd w:id="1"/>
    </w:p>
    <w:p w14:paraId="6DC14D83" w14:textId="711C45A7" w:rsidR="007804A2" w:rsidRPr="00D86888" w:rsidRDefault="007804A2" w:rsidP="00432F4E">
      <w:pPr>
        <w:ind w:firstLine="360"/>
      </w:pPr>
      <w:r w:rsidRPr="00D86888">
        <w:t xml:space="preserve">Osteomyelitis is an infection localized to the skeletal system that is most commonly caused by the opportunistic gram-positive bacteria </w:t>
      </w:r>
      <w:r w:rsidRPr="00D86888">
        <w:rPr>
          <w:i/>
        </w:rPr>
        <w:t>Staphylococcus aureus</w:t>
      </w:r>
      <w:r w:rsidRPr="00D86888">
        <w:t xml:space="preserve"> (</w:t>
      </w:r>
      <w:r w:rsidRPr="00D86888">
        <w:rPr>
          <w:i/>
        </w:rPr>
        <w:t>S. aureus</w:t>
      </w:r>
      <w:r w:rsidRPr="00D86888">
        <w:t>) and coagulase-negative staphylococci</w:t>
      </w:r>
      <w:r w:rsidRPr="00D86888">
        <w:rPr>
          <w:i/>
        </w:rPr>
        <w:t xml:space="preserve"> </w:t>
      </w:r>
      <w:r w:rsidRPr="00D86888">
        <w:t>(~ 75% of cases combined)</w:t>
      </w:r>
      <w:r w:rsidR="00C66C83" w:rsidRPr="00D86888">
        <w:t xml:space="preserve"> </w:t>
      </w:r>
      <w:r w:rsidRPr="00D86888">
        <w:fldChar w:fldCharType="begin" w:fldLock="1"/>
      </w:r>
      <w:r w:rsidR="0045705E">
        <w:instrText>ADDIN CSL_CITATION {"citationItems":[{"id":"ITEM-1","itemData":{"DOI":"10.3238/arztebl.2012.0257","ISBN":"1866-0452 (Electronic)\\r1866-0452 (Linking)","ISSN":"1866-0452","PMID":"22536302","abstract":"BACKGROUND: Osteomyelitis was described many years ago but is still incompletely understood. Its exogenously acquired form is likely to become more common as the population ages. We discuss biofilm formation as a clinically relevant pathophysiological model and present current recommendations for the treatment of osteomyelitis.\\n\\nMETHODS: We selectively searched the PubMed and Cochrane databases for articles on the treatment of chronic osteomyelitis with local and systemic antibiotics and with surgery. The biofilm hypothesis is discussed in the light of the current literature.\\n\\nRESULTS: There is still no consensus on either the definition of osteomyelitis or the criteria for its diagnosis. Most of the published studies cannot be compared with one another, and there is a lack of scientific evidence to guide treatment. The therapeutic recommendations are, therefore, based on the findings of individual studies and on current textbooks. There are two approaches to treatment, with either curative or palliative intent; surgery is now the most important treatment modality in both. In addition to surgery, antibiotics must also be given, with the choice of agent determined by the sensitivity spectrum of the pathogen.\\n\\nCONCLUSION: Surgery combined with anti-infective chemotherapy leads to long-lasting containment of infection in 70% to 90% of cases. Suitable drugs are not yet available for the eradication of biofilm-producing bacteria.","author":[{"dropping-particle":"","family":"Walter","given":"Gerhard","non-dropping-particle":"","parse-names":false,"suffix":""},{"dropping-particle":"","family":"Kemmerer","given":"Matthias","non-dropping-particle":"","parse-names":false,"suffix":""},{"dropping-particle":"","family":"Kappler","given":"Clemens","non-dropping-particle":"","parse-names":false,"suffix":""},{"dropping-particle":"","family":"Hoffmann","given":"Reinhard","non-dropping-particle":"","parse-names":false,"suffix":""}],"container-title":"Deutsches Ärzteblatt international","id":"ITEM-1","issue":"14","issued":{"date-parts":[["2012"]]},"page":"257-264","title":"Treatment algorithms for chronic osteomyelitis","type":"article-journal","volume":"109"},"uris":["http://www.mendeley.com/documents/?uuid=c039c775-6a5c-4c81-b581-2d17d887dd07","http://www.mendeley.com/documents/?uuid=806ffd17-46e8-418c-ae7e-2b5490bc0f8a"]}],"mendeley":{"formattedCitation":"[1]","plainTextFormattedCitation":"[1]","previouslyFormattedCitation":"[1]"},"properties":{"noteIndex":0},"schema":"https://github.com/citation-style-language/schema/raw/master/csl-citation.json"}</w:instrText>
      </w:r>
      <w:r w:rsidRPr="00D86888">
        <w:fldChar w:fldCharType="separate"/>
      </w:r>
      <w:r w:rsidR="003C5B0C" w:rsidRPr="00D86888">
        <w:rPr>
          <w:noProof/>
        </w:rPr>
        <w:t>[1]</w:t>
      </w:r>
      <w:r w:rsidRPr="00D86888">
        <w:fldChar w:fldCharType="end"/>
      </w:r>
      <w:r w:rsidR="00C66C83" w:rsidRPr="00D86888">
        <w:t>.</w:t>
      </w:r>
      <w:r w:rsidRPr="00D86888">
        <w:t xml:space="preserve"> The clinical treatment of acute osteomyelitis usually involves 4-6 weeks of high-dose systemic antibiotic therapy. For chronic osteomyelitis, or in the case of a diffuse infection, substantial surgical debridement of the necrotic bone and surrounding soft tissue combined with high-dose systemic antibiotic therapy for up to 6 months is required</w:t>
      </w:r>
      <w:r w:rsidR="00C66C83" w:rsidRPr="00D86888">
        <w:t xml:space="preserve"> </w:t>
      </w:r>
      <w:r w:rsidRPr="00D86888">
        <w:fldChar w:fldCharType="begin" w:fldLock="1"/>
      </w:r>
      <w:r w:rsidR="0045705E">
        <w:instrText>ADDIN CSL_CITATION {"citationItems":[{"id":"ITEM-1","itemData":{"DOI":"10.1016/j.bjid.2013.12.005","ISBN":"1413-8670","ISSN":"16784391","PMID":"24698709","abstract":"With the advances in surgical treatment, antibiotic therapy and the current resources for accurate diagnosis and differentiated approaches to each type of osteomyelitis, better results are being obtained in the treatment of this disease. After a careful literature review carried out by a multiprofessional team, some conclusions were made in order to guide medical approach to different types of osteomyelitis, aiming to obtain better clinical outcomes and reducing the social costs of this disease. Acute and chronic osteomyelitis are discussed, with presentation of the general epidemiological concepts and the commonly used classification systems. The main guidelines for the clinical, laboratory and imaging diagnosis of infections are discussed, as well as the guidelines for surgical and antimicrobial treatments, and the role of hyperbaric oxygen as adjuvant therapy.","author":[{"dropping-particle":"","family":"Lima","given":"Ana L","non-dropping-particle":"","parse-names":false,"suffix":""},{"dropping-particle":"","family":"Oliveira","given":"Priscila R.","non-dropping-particle":"","parse-names":false,"suffix":""},{"dropping-particle":"","family":"Carvalho","given":"Vladimir C.","non-dropping-particle":"","parse-names":false,"suffix":""},{"dropping-particle":"","family":"Cimerman","given":"Sergio","non-dropping-particle":"","parse-names":false,"suffix":""},{"dropping-particle":"","family":"Savio","given":"Eduardo","non-dropping-particle":"","parse-names":false,"suffix":""}],"container-title":"Brazilian Journal of Infectious Diseases","id":"ITEM-1","issue":"5","issued":{"date-parts":[["2014"]]},"page":"526-534","publisher":"Elsevier Editora Ltda","title":"Recommendations for the treatment of osteomyelitis","type":"article-journal","volume":"18"},"uris":["http://www.mendeley.com/documents/?uuid=bb0ac720-b4f8-446e-9d73-e80b39a4db60","http://www.mendeley.com/documents/?uuid=cf7be743-faac-4b2e-af61-4a96dc586d6c"]}],"mendeley":{"formattedCitation":"[2]","plainTextFormattedCitation":"[2]","previouslyFormattedCitation":"[2]"},"properties":{"noteIndex":0},"schema":"https://github.com/citation-style-language/schema/raw/master/csl-citation.json"}</w:instrText>
      </w:r>
      <w:r w:rsidRPr="00D86888">
        <w:fldChar w:fldCharType="separate"/>
      </w:r>
      <w:r w:rsidR="003C5B0C" w:rsidRPr="00D86888">
        <w:rPr>
          <w:noProof/>
        </w:rPr>
        <w:t>[2]</w:t>
      </w:r>
      <w:r w:rsidRPr="00D86888">
        <w:fldChar w:fldCharType="end"/>
      </w:r>
      <w:r w:rsidR="00C66C83" w:rsidRPr="00D86888">
        <w:t>.</w:t>
      </w:r>
      <w:r w:rsidRPr="00D86888">
        <w:t xml:space="preserve"> Additionally, autologous bone grafting is often necessary to fill the void and support the defect site that remains after an aggressive debridement process</w:t>
      </w:r>
      <w:r w:rsidR="00C66C83" w:rsidRPr="00D86888">
        <w:t xml:space="preserve"> </w:t>
      </w:r>
      <w:r w:rsidRPr="00D86888">
        <w:fldChar w:fldCharType="begin" w:fldLock="1"/>
      </w:r>
      <w:r w:rsidR="0045705E">
        <w:instrText>ADDIN CSL_CITATION {"citationItems":[{"id":"ITEM-1","itemData":{"DOI":"10.1016/S1067-2516(09)80076-8","ISSN":"1067-2516","PMID":"8646205","abstract":"Hematogenous osteomyelitis is a relatively uncommon disorder that may prove elusive to early diagnosis and treatment. Metaphyseal long bones are commonly involved and the calcaneus is rarely affected. A high index of suspicion should be maintained regarding the pediatric patient with pain out of proportion to a minor injury. Delay in the diagnosis of hematogenous osteomyelitis in the pediatric patient can result in irreversible growth disturbances and devastating sequelae. The authors present a typical case history with an unusual postoperative course and a review of the clinical aspects and surgical treatment of hematogenous calcaneal osteomyelitis in a child.","author":[{"dropping-particle":"","family":"Kelsey","given":"R","non-dropping-particle":"","parse-names":false,"suffix":""},{"dropping-particle":"","family":"Kor","given":"A","non-dropping-particle":"","parse-names":false,"suffix":""},{"dropping-particle":"","family":"Cordano","given":"F","non-dropping-particle":"","parse-names":false,"suffix":""}],"container-title":"The Journal of Foot and Ankle Surgery","id":"ITEM-1","issue":"6","issued":{"date-parts":[["1995"]]},"page":"547-555","publisher":"American College of Foot and Ankle Surgeons.","title":"Hematogenous osteomyelitis of the calcaneus in children: surgical treatment and use of implanted antibiotic beads.","type":"article-journal","volume":"34"},"uris":["http://www.mendeley.com/documents/?uuid=c1fe041d-094c-42c7-96bd-58ec43c1cb59"]},{"id":"ITEM-2","itemData":{"DOI":"10.1055/s-0029-1214158","ISBN":"1536-0067 (Electronic)\\r1535-2188 (Linking)","ISSN":"1536-0067","PMID":"20567728","abstract":"Long bone osteomyelitis presents a variety of challenges to the physician. The severity of the disease is staged depending upon the infection's particular features, including its etiology, pathogenesis, extent of bone involvement, duration, and host factors particular to the individual patient (infant, child, adult, or immunocompromised). Long bone osteomyelitis may be either hematogenous or caused by a contiguous spread of infection. A single pathogenic organism is almost always recovered from the bone in hematogenous osteomyelitis; Staphylococcus aureus is the most common organism isolated. A variety of multidrug-resistant organisms of bacteria continue to be a source of concern in arresting infection. The primary weapons to treat these infections are culture-specific antibiotics, aggressive debridement, muscle flaps, and bone grafts. This article offers a basic review of the classification, etiology, epidemiology, pathogenesis, and treatment of long bone osteomyelitis.","author":[{"dropping-particle":"","family":"Calhoun","given":"Jason H","non-dropping-particle":"","parse-names":false,"suffix":""},{"dropping-particle":"","family":"Manring","given":"M M","non-dropping-particle":"","parse-names":false,"suffix":""},{"dropping-particle":"","family":"Shirtliff","given":"Mark","non-dropping-particle":"","parse-names":false,"suffix":""}],"container-title":"Seminars in plastic surgery","id":"ITEM-2","issue":"2","issued":{"date-parts":[["2009"]]},"page":"59-72","title":"Osteomyelitis of the long bones","type":"article-journal","volume":"23"},"uris":["http://www.mendeley.com/documents/?uuid=5c78703b-bd8d-4f4b-9234-3a9fe0c52f82"]}],"mendeley":{"formattedCitation":"[3,4]","plainTextFormattedCitation":"[3,4]","previouslyFormattedCitation":"[3,4]"},"properties":{"noteIndex":0},"schema":"https://github.com/citation-style-language/schema/raw/master/csl-citation.json"}</w:instrText>
      </w:r>
      <w:r w:rsidRPr="00D86888">
        <w:fldChar w:fldCharType="separate"/>
      </w:r>
      <w:r w:rsidR="003C5B0C" w:rsidRPr="00D86888">
        <w:rPr>
          <w:noProof/>
        </w:rPr>
        <w:t>[3,4]</w:t>
      </w:r>
      <w:r w:rsidRPr="00D86888">
        <w:fldChar w:fldCharType="end"/>
      </w:r>
      <w:r w:rsidR="00C66C83" w:rsidRPr="00D86888">
        <w:t>.</w:t>
      </w:r>
    </w:p>
    <w:p w14:paraId="2BC77CD3" w14:textId="442176CD" w:rsidR="007804A2" w:rsidRPr="00D86888" w:rsidRDefault="007804A2" w:rsidP="00432F4E">
      <w:r w:rsidRPr="00D86888">
        <w:t>Despite advances in the treatment of the disease through revised surgical approaches and antibiotic regimens</w:t>
      </w:r>
      <w:r w:rsidR="00C66C83" w:rsidRPr="00D86888">
        <w:t xml:space="preserve"> </w:t>
      </w:r>
      <w:r w:rsidRPr="00D86888">
        <w:fldChar w:fldCharType="begin" w:fldLock="1"/>
      </w:r>
      <w:r w:rsidR="0045705E">
        <w:instrText>ADDIN CSL_CITATION {"citationItems":[{"id":"ITEM-1","itemData":{"DOI":"10.1016/j.bjid.2013.12.005","ISBN":"1413-8670","ISSN":"16784391","PMID":"24698709","abstract":"With the advances in surgical treatment, antibiotic therapy and the current resources for accurate diagnosis and differentiated approaches to each type of osteomyelitis, better results are being obtained in the treatment of this disease. After a careful literature review carried out by a multiprofessional team, some conclusions were made in order to guide medical approach to different types of osteomyelitis, aiming to obtain better clinical outcomes and reducing the social costs of this disease. Acute and chronic osteomyelitis are discussed, with presentation of the general epidemiological concepts and the commonly used classification systems. The main guidelines for the clinical, laboratory and imaging diagnosis of infections are discussed, as well as the guidelines for surgical and antimicrobial treatments, and the role of hyperbaric oxygen as adjuvant therapy.","author":[{"dropping-particle":"","family":"Lima","given":"Ana L","non-dropping-particle":"","parse-names":false,"suffix":""},{"dropping-particle":"","family":"Oliveira","given":"Priscila R.","non-dropping-particle":"","parse-names":false,"suffix":""},{"dropping-particle":"","family":"Carvalho","given":"Vladimir C.","non-dropping-particle":"","parse-names":false,"suffix":""},{"dropping-particle":"","family":"Cimerman","given":"Sergio","non-dropping-particle":"","parse-names":false,"suffix":""},{"dropping-particle":"","family":"Savio","given":"Eduardo","non-dropping-particle":"","parse-names":false,"suffix":""}],"container-title":"Brazilian Journal of Infectious Diseases","id":"ITEM-1","issue":"5","issued":{"date-parts":[["2014"]]},"page":"526-534","publisher":"Elsevier Editora Ltda","title":"Recommendations for the treatment of osteomyelitis","type":"article-journal","volume":"18"},"uris":["http://www.mendeley.com/documents/?uuid=cf7be743-faac-4b2e-af61-4a96dc586d6c"]},{"id":"ITEM-2","itemData":{"DOI":"10.1055/s-0029-1214166","ISBN":"1536-0067 (Electronic)\\r1535-2188 (Linking)","ISSN":"1536-0067","PMID":"20567736","abstract":"The current management for chronic osteomyelitis centers on adequate antibiotic coverage and surgical debridement of nonviable tissue. The eradication of osteomyelitis, however, often involves a prolonged and frustrating course of management. Nonsurgical adjunctive modalities have not been widely used, mostly due to a lack of perceived efficacy, and have remained in a state of infancy. In this article, we will outline the rationale, current status, and evidence for several potential adjuncts to osteomyelitis management.","author":[{"dropping-particle":"","family":"Fang","given":"Robert C","non-dropping-particle":"","parse-names":false,"suffix":""},{"dropping-particle":"","family":"Galiano","given":"Robert D","non-dropping-particle":"","parse-names":false,"suffix":""}],"container-title":"Seminars in plastic surgery","id":"ITEM-2","issue":"2","issued":{"date-parts":[["2009"]]},"page":"141-147","title":"Adjunctive therapies in the treatment of osteomyelitis","type":"article-journal","volume":"23"},"uris":["http://www.mendeley.com/documents/?uuid=3afe10ba-067a-4184-8999-1e5905de64ae"]}],"mendeley":{"formattedCitation":"[2,5]","plainTextFormattedCitation":"[2,5]","previouslyFormattedCitation":"[2,5]"},"properties":{"noteIndex":0},"schema":"https://github.com/citation-style-language/schema/raw/master/csl-citation.json"}</w:instrText>
      </w:r>
      <w:r w:rsidRPr="00D86888">
        <w:fldChar w:fldCharType="separate"/>
      </w:r>
      <w:r w:rsidR="003C5B0C" w:rsidRPr="00D86888">
        <w:rPr>
          <w:noProof/>
        </w:rPr>
        <w:t>[2,5]</w:t>
      </w:r>
      <w:r w:rsidRPr="00D86888">
        <w:fldChar w:fldCharType="end"/>
      </w:r>
      <w:r w:rsidR="00C66C83" w:rsidRPr="00D86888">
        <w:t>,</w:t>
      </w:r>
      <w:r w:rsidRPr="00D86888">
        <w:t xml:space="preserve"> osteomyelitis remains notoriously difficult-to-treat with treatment failure rates of up to 20-30%</w:t>
      </w:r>
      <w:r w:rsidR="00C66C83" w:rsidRPr="00D86888">
        <w:t xml:space="preserve"> </w:t>
      </w:r>
      <w:r w:rsidRPr="00D86888">
        <w:fldChar w:fldCharType="begin" w:fldLock="1"/>
      </w:r>
      <w:r w:rsidR="0045705E">
        <w:instrText>ADDIN CSL_CITATION {"citationItems":[{"id":"ITEM-1","itemData":{"DOI":"10.1093/jac/dkg186","author":[{"dropping-particle":"","family":"Tice","given":"Alan D","non-dropping-particle":"","parse-names":false,"suffix":""},{"dropping-particle":"","family":"Hoaglund","given":"Pamela A","non-dropping-particle":"","parse-names":false,"suffix":""},{"dropping-particle":"","family":"Shoultz","given":"David A","non-dropping-particle":"","parse-names":false,"suffix":""}],"id":"ITEM-1","issue":"March","issued":{"date-parts":[["2003"]]},"page":"1261-1268","title":"Risk factors and treatment outcomes in osteomyelitis","type":"article-journal"},"uris":["http://www.mendeley.com/documents/?uuid=96cc48e7-6cb2-4a5a-8df3-d91e821c201f"]},{"id":"ITEM-2","itemData":{"DOI":"10.1055/s-0029-1214166","ISBN":"1536-0067 (Electronic)\\r1535-2188 (Linking)","ISSN":"1536-0067","PMID":"20567736","abstract":"The current management for chronic osteomyelitis centers on adequate antibiotic coverage and surgical debridement of nonviable tissue. The eradication of osteomyelitis, however, often involves a prolonged and frustrating course of management. Nonsurgical adjunctive modalities have not been widely used, mostly due to a lack of perceived efficacy, and have remained in a state of infancy. In this article, we will outline the rationale, current status, and evidence for several potential adjuncts to osteomyelitis management.","author":[{"dropping-particle":"","family":"Fang","given":"Robert C","non-dropping-particle":"","parse-names":false,"suffix":""},{"dropping-particle":"","family":"Galiano","given":"Robert D","non-dropping-particle":"","parse-names":false,"suffix":""}],"container-title":"Seminars in plastic surgery","id":"ITEM-2","issue":"2","issued":{"date-parts":[["2009"]]},"page":"141-147","title":"Adjunctive therapies in the treatment of osteomyelitis","type":"article-journal","volume":"23"},"uris":["http://www.mendeley.com/documents/?uuid=3afe10ba-067a-4184-8999-1e5905de64ae"]}],"mendeley":{"formattedCitation":"[5,6]","plainTextFormattedCitation":"[5,6]","previouslyFormattedCitation":"[5,6]"},"properties":{"noteIndex":0},"schema":"https://github.com/citation-style-language/schema/raw/master/csl-citation.json"}</w:instrText>
      </w:r>
      <w:r w:rsidRPr="00D86888">
        <w:fldChar w:fldCharType="separate"/>
      </w:r>
      <w:r w:rsidR="003C5B0C" w:rsidRPr="00D86888">
        <w:rPr>
          <w:noProof/>
        </w:rPr>
        <w:t>[5,6]</w:t>
      </w:r>
      <w:r w:rsidRPr="00D86888">
        <w:fldChar w:fldCharType="end"/>
      </w:r>
      <w:r w:rsidR="00C66C83" w:rsidRPr="00D86888">
        <w:t>.</w:t>
      </w:r>
      <w:r w:rsidRPr="00D86888">
        <w:t xml:space="preserve"> As well as the drawback of the multistep treatment approach to osteomyelitis, the numerous complications associated with autografting for osteomyelitis (e.g. hematoma formation and donor site morbidity/fracture) are well documented</w:t>
      </w:r>
      <w:r w:rsidR="00C66C83" w:rsidRPr="00D86888">
        <w:t xml:space="preserve"> </w:t>
      </w:r>
      <w:r w:rsidRPr="00D86888">
        <w:fldChar w:fldCharType="begin" w:fldLock="1"/>
      </w:r>
      <w:r w:rsidR="0045705E">
        <w:instrText>ADDIN CSL_CITATION {"citationItems":[{"id":"ITEM-1","itemData":{"DOI":"10.1016/j.injury.2011.06.015","ISSN":"0020-1383","author":[{"dropping-particle":"","family":"Dimitriou","given":"Rozalia","non-dropping-particle":"","parse-names":false,"suffix":""},{"dropping-particle":"","family":"Mataliotakis","given":"George I","non-dropping-particle":"","parse-names":false,"suffix":""},{"dropping-particle":"","family":"Angoules","given":"Antonios G","non-dropping-particle":"","parse-names":false,"suffix":""},{"dropping-particle":"","family":"Kanakaris","given":"Nikolaos K","non-dropping-particle":"","parse-names":false,"suffix":""},{"dropping-particle":"V","family":"Giannoudis","given":"Peter","non-dropping-particle":"","parse-names":false,"suffix":""}],"container-title":"Injury","id":"ITEM-1","issued":{"date-parts":[["2011"]]},"page":"3-15","publisher":"Elsevier Ltd","title":"Complications following autologous bone graft harvesting from the iliac crest and using the RIA : A systematic review","type":"article-journal","volume":"42"},"uris":["http://www.mendeley.com/documents/?uuid=6d5de225-b23c-4d0b-b34f-932b7df7b146"]}],"mendeley":{"formattedCitation":"[7]","plainTextFormattedCitation":"[7]","previouslyFormattedCitation":"[7]"},"properties":{"noteIndex":0},"schema":"https://github.com/citation-style-language/schema/raw/master/csl-citation.json"}</w:instrText>
      </w:r>
      <w:r w:rsidRPr="00D86888">
        <w:fldChar w:fldCharType="separate"/>
      </w:r>
      <w:r w:rsidR="003C5B0C" w:rsidRPr="00D86888">
        <w:rPr>
          <w:noProof/>
        </w:rPr>
        <w:t>[7]</w:t>
      </w:r>
      <w:r w:rsidRPr="00D86888">
        <w:fldChar w:fldCharType="end"/>
      </w:r>
      <w:r w:rsidR="00C66C83" w:rsidRPr="00D86888">
        <w:t>.</w:t>
      </w:r>
      <w:r w:rsidRPr="00D86888">
        <w:t xml:space="preserve"> Furthermore, the systemic administration of a sufficiently high dose of antibiotics to ensure that a therapeutic dose reaches the poorly vascularized, necrotic treatment site often results in systemic toxicity</w:t>
      </w:r>
      <w:r w:rsidR="00C66C83" w:rsidRPr="00D86888">
        <w:t xml:space="preserve"> </w:t>
      </w:r>
      <w:r w:rsidRPr="00D86888">
        <w:fldChar w:fldCharType="begin" w:fldLock="1"/>
      </w:r>
      <w:r w:rsidR="0045705E">
        <w:instrText>ADDIN CSL_CITATION {"citationItems":[{"id":"ITEM-1","itemData":{"DOI":"10.1055/s-0029-1214162.","author":[{"dropping-particle":"","family":"Gogia","given":"Jaspaul S","non-dropping-particle":"","parse-names":false,"suffix":""},{"dropping-particle":"","family":"Meehan","given":"John P","non-dropping-particle":"","parse-names":false,"suffix":""},{"dropping-particle":"Di","family":"Cesare","given":"Paul E","non-dropping-particle":"","parse-names":false,"suffix":""},{"dropping-particle":"","family":"Jamali","given":"Amir A","non-dropping-particle":"","parse-names":false,"suffix":""}],"container-title":"Seminars in plastic surgery","id":"ITEM-1","issue":"2","issued":{"date-parts":[["2009"]]},"page":"100-107","title":"Local antibiotic therapy in osteomyelitis","type":"article-journal","volume":"23"},"uris":["http://www.mendeley.com/documents/?uuid=c8c2e061-2a0b-42fd-8324-f166d539e2ee"]}],"mendeley":{"formattedCitation":"[8]","plainTextFormattedCitation":"[8]","previouslyFormattedCitation":"[8]"},"properties":{"noteIndex":0},"schema":"https://github.com/citation-style-language/schema/raw/master/csl-citation.json"}</w:instrText>
      </w:r>
      <w:r w:rsidRPr="00D86888">
        <w:fldChar w:fldCharType="separate"/>
      </w:r>
      <w:r w:rsidR="003C5B0C" w:rsidRPr="00D86888">
        <w:rPr>
          <w:noProof/>
        </w:rPr>
        <w:t>[8]</w:t>
      </w:r>
      <w:r w:rsidRPr="00D86888">
        <w:fldChar w:fldCharType="end"/>
      </w:r>
      <w:r w:rsidR="00C66C83" w:rsidRPr="00D86888">
        <w:t>.</w:t>
      </w:r>
      <w:r w:rsidRPr="00D86888">
        <w:t xml:space="preserve"> Therefore, in treating osteomyelitis, there exists a dual challenge: ensuring an effective and non-toxic dose of antimicrobial, while ensuring bone regeneration is stimulated.  </w:t>
      </w:r>
    </w:p>
    <w:p w14:paraId="1F0C633A" w14:textId="7902FE2C" w:rsidR="007804A2" w:rsidRPr="00D86888" w:rsidRDefault="007804A2" w:rsidP="00432F4E">
      <w:r w:rsidRPr="00D86888">
        <w:rPr>
          <w:szCs w:val="18"/>
        </w:rPr>
        <w:t>Antibiotic resistance is now quickly becoming a serious risk to public health with more than 70% of hospital acquired bacterial infections being resistant to one or more of the antibiotics that were traditionally used to eradicate them</w:t>
      </w:r>
      <w:r w:rsidR="00C66C83" w:rsidRPr="00D86888">
        <w:rPr>
          <w:szCs w:val="18"/>
        </w:rPr>
        <w:t xml:space="preserve"> </w:t>
      </w:r>
      <w:r w:rsidRPr="00D86888">
        <w:fldChar w:fldCharType="begin" w:fldLock="1"/>
      </w:r>
      <w:r w:rsidR="0045705E">
        <w:instrText>ADDIN CSL_CITATION {"citationItems":[{"id":"ITEM-1","itemData":{"author":[{"dropping-particle":"","family":"Center for Drug Evaluation and Research","given":"","non-dropping-particle":"","parse-names":false,"suffix":""}],"id":"ITEM-1","issued":{"date-parts":[["2011"]]},"language":"en","publisher":"Center for Drug Evaluation and Research","title":"Information for Consumers (Drugs) - Battle of the Bugs: Fighting Antibiotic Resistance","type":"article"},"uris":["http://www.mendeley.com/documents/?uuid=0148458c-e566-458f-aae0-483ccc98f1ad","http://www.mendeley.com/documents/?uuid=0b1fd21c-82d3-4035-8115-ee84789f5f33"]}],"mendeley":{"formattedCitation":"[9]","plainTextFormattedCitation":"[9]","previouslyFormattedCitation":"[9]"},"properties":{"noteIndex":0},"schema":"https://github.com/citation-style-language/schema/raw/master/csl-citation.json"}</w:instrText>
      </w:r>
      <w:r w:rsidRPr="00D86888">
        <w:fldChar w:fldCharType="separate"/>
      </w:r>
      <w:r w:rsidR="003C5B0C" w:rsidRPr="00D86888">
        <w:rPr>
          <w:noProof/>
        </w:rPr>
        <w:t>[9]</w:t>
      </w:r>
      <w:r w:rsidRPr="00D86888">
        <w:fldChar w:fldCharType="end"/>
      </w:r>
      <w:r w:rsidR="00C66C83" w:rsidRPr="00D86888">
        <w:t>.</w:t>
      </w:r>
      <w:r w:rsidRPr="00D86888">
        <w:t xml:space="preserve"> In parallel, there has been a steep decline in antibiotic approval over the last 30 years, with only five antibiotics approved by the US Food and Drug Administrat</w:t>
      </w:r>
      <w:r w:rsidR="00C66C83" w:rsidRPr="00D86888">
        <w:t xml:space="preserve">ion (FDA) between 2012 and 2017 </w:t>
      </w:r>
      <w:r w:rsidRPr="00D86888">
        <w:fldChar w:fldCharType="begin" w:fldLock="1"/>
      </w:r>
      <w:r w:rsidR="0045705E">
        <w:instrText>ADDIN CSL_CITATION {"citationItems":[{"id":"ITEM-1","itemData":{"URL":"http://www.centerwatch.com/drug-information/fda-approved-drugs/therapeutic-area/25/infections-and-infectious-diseases","accessed":{"date-parts":[["2017","8","8"]]},"author":[{"dropping-particle":"","family":"CenterWatch","given":"","non-dropping-particle":"","parse-names":false,"suffix":""}],"id":"ITEM-1","issued":{"date-parts":[["2017"]]},"title":"FDA approved drugs in infections and infectious diseases","type":"webpage"},"uris":["http://www.mendeley.com/documents/?uuid=a08ae383-74ec-3db6-a347-e785421c941f"]}],"mendeley":{"formattedCitation":"[10]","plainTextFormattedCitation":"[10]","previouslyFormattedCitation":"[10]"},"properties":{"noteIndex":0},"schema":"https://github.com/citation-style-language/schema/raw/master/csl-citation.json"}</w:instrText>
      </w:r>
      <w:r w:rsidRPr="00D86888">
        <w:fldChar w:fldCharType="separate"/>
      </w:r>
      <w:r w:rsidR="003C5B0C" w:rsidRPr="00D86888">
        <w:rPr>
          <w:noProof/>
        </w:rPr>
        <w:t>[10]</w:t>
      </w:r>
      <w:r w:rsidRPr="00D86888">
        <w:fldChar w:fldCharType="end"/>
      </w:r>
      <w:r w:rsidR="00C66C83" w:rsidRPr="00D86888">
        <w:t>.</w:t>
      </w:r>
      <w:r w:rsidRPr="00D86888">
        <w:t xml:space="preserve"> Minimal new antibiotic approvals combined with an alarming number of emerging cases of microbial resistance to ‘last resort’ antibiotics (e.g. vancomycin) motivate the requirement for non-antibiotic alternatives, such as ionic metals (e.g., copper, silver).</w:t>
      </w:r>
    </w:p>
    <w:p w14:paraId="394760DE" w14:textId="61F11210" w:rsidR="007804A2" w:rsidRPr="00D86888" w:rsidRDefault="007804A2" w:rsidP="00432F4E">
      <w:r w:rsidRPr="00D86888">
        <w:t>Copper is a well-known antimicrobial material that can also contribute to bone generation through stimulation of osteogenesis and angiogenesis. Copper has been shown to be effective against both gram-positive and gram-negative bacteria and fungi</w:t>
      </w:r>
      <w:r w:rsidR="00C66C83" w:rsidRPr="00D86888">
        <w:t xml:space="preserve"> </w:t>
      </w:r>
      <w:r w:rsidRPr="00D86888">
        <w:fldChar w:fldCharType="begin" w:fldLock="1"/>
      </w:r>
      <w:r w:rsidR="0045705E">
        <w:instrText>ADDIN CSL_CITATION {"citationItems":[{"id":"ITEM-1","itemData":{"DOI":"10.1016/j.biomaterials.2012.09.066","ISSN":"0142-9612","author":[{"dropping-particle":"","family":"Wu","given":"Chengtie","non-dropping-particle":"","parse-names":false,"suffix":""},{"dropping-particle":"","family":"Zhou","given":"Yinghong","non-dropping-particle":"","parse-names":false,"suffix":""},{"dropping-particle":"","family":"Xu","given":"Mengchi","non-dropping-particle":"","parse-names":false,"suffix":""},{"dropping-particle":"","family":"Han","given":"Pingping","non-dropping-particle":"","parse-names":false,"suffix":""},{"dropping-particle":"","family":"Chen","given":"Lei","non-dropping-particle":"","parse-names":false,"suffix":""},{"dropping-particle":"","family":"Chang","given":"Jiang","non-dropping-particle":"","parse-names":false,"suffix":""},{"dropping-particle":"","family":"Xiao","given":"Yin","non-dropping-particle":"","parse-names":false,"suffix":""}],"container-title":"Biomaterials","id":"ITEM-1","issue":"2","issued":{"date-parts":[["2013"]]},"page":"422-433","publisher":"Elsevier Ltd","title":"Copper-containing mesoporous bioactive glass scaffolds with multifunctional properties of angiogenesis capacity, osteostimulation and antibacterial activity","type":"article-journal","volume":"34"},"uris":["http://www.mendeley.com/documents/?uuid=216c5b6e-603b-48b1-b0e2-6fba0db33ef9"]},{"id":"ITEM-2","itemData":{"DOI":"10.1111/ijag.12061","ISSN":"20411294","abstract":"Bioactive glasses (BGs) based on 50SiO(2)-45CaO-5P(2)O(5) system doped with 1, 5, and 10mol% CuO or Ag2O were separately synthesized using quick alkali sol-gel method. Scanning electron microscope (SEM) analysis of the samples confirmed the formation of nano-sized BGs, whereas Fourier transform infrared (FTIR) spectra showed characteristic peaks for silica and phosphate groups. X-ray diffraction (XRD) pattern of the heat-treated (700 degrees C) samples revealed the presence of crystalline metallic silver phase in all Ag-doped samples, while the XRD pattern of Cu-doped and control sample (50Si-45CaO-5P(2)O(5)) also heat-treated at 700 degrees C confirmed their amorphous nature. Ultraviolet-visible (UV-Vis) studies along with Energy-dispersive X-ray spectroscopy (EDX) analysis confirmed the successful incorporation of Cu and Ag in bioglass. Antibacterial properties of the synthesized BGs were investigated by quantitative viable count method, and the results were related to the ion release profiles of the samples studied by flame atomic absorption spectroscopy (FAAS). Fast initial release of Ag observed in this study makes Ag-doped BG a better rapid bacteria-killing agent than Cu-doped BG, which exhibited a prolonged release of ions, suggesting that it may be a better candidate for long-term antibacterial protection.","author":[{"dropping-particle":"","family":"Goh","given":"Yi Fan","non-dropping-particle":"","parse-names":false,"suffix":""},{"dropping-particle":"","family":"Alshemary","given":"Ammar Z.","non-dropping-particle":"","parse-names":false,"suffix":""},{"dropping-particle":"","family":"Akram","given":"Muhammad","non-dropping-particle":"","parse-names":false,"suffix":""},{"dropping-particle":"","family":"Abdul Kadir","given":"Mohammed Rafiq","non-dropping-particle":"","parse-names":false,"suffix":""},{"dropping-particle":"","family":"Hussain","given":"Rafaqat","non-dropping-particle":"","parse-names":false,"suffix":""}],"container-title":"International Journal of Applied Glass Science","id":"ITEM-2","issue":"3","issued":{"date-parts":[["2014"]]},"page":"255-266","title":"Bioactive glass: an in-vitro comparative study of doping with nanoscale copper and silver particles","type":"article-journal","volume":"5"},"uris":["http://www.mendeley.com/documents/?uuid=6ca87e55-f65a-4fe0-9b15-14fb2a67b8e8"]},{"id":"ITEM-3","itemData":{"DOI":"10.1007/978-3-642-24428-5_3","ISBN":"978-3-642-24427-8","author":[{"dropping-particle":"","family":"Longano","given":"Daniela","non-dropping-particle":"","parse-names":false,"suffix":""},{"dropping-particle":"","family":"Ditaranto","given":"Nicoletta","non-dropping-particle":"","parse-names":false,"suffix":""},{"dropping-particle":"","family":"Sabbatini","given":"Luigia","non-dropping-particle":"","parse-names":false,"suffix":""},{"dropping-particle":"","family":"Torsi","given":"Luisa","non-dropping-particle":"","parse-names":false,"suffix":""},{"dropping-particle":"","family":"Cioffi","given":"Nicola","non-dropping-particle":"","parse-names":false,"suffix":""}],"container-title":"Nano-Antimicrobials","editor":[{"dropping-particle":"","family":"Cioffi","given":"Nicola","non-dropping-particle":"","parse-names":false,"suffix":""},{"dropping-particle":"","family":"Rai","given":"Mahendra","non-dropping-particle":"","parse-names":false,"suffix":""}],"id":"ITEM-3","issued":{"date-parts":[["2011"]]},"language":"English","page":"85-117","publisher":"Springer Berlin Heidelberg","title":"Synthesis and antimicrobial activity of copper nanomaterials","type":"chapter"},"uris":["http://www.mendeley.com/documents/?uuid=918cd2b4-7761-482f-b533-297bc7df3925"]}],"mendeley":{"formattedCitation":"[11–13]","plainTextFormattedCitation":"[11–13]","previouslyFormattedCitation":"[11–13]"},"properties":{"noteIndex":0},"schema":"https://github.com/citation-style-language/schema/raw/master/csl-citation.json"}</w:instrText>
      </w:r>
      <w:r w:rsidRPr="00D86888">
        <w:fldChar w:fldCharType="separate"/>
      </w:r>
      <w:r w:rsidR="003C5B0C" w:rsidRPr="00D86888">
        <w:rPr>
          <w:noProof/>
        </w:rPr>
        <w:t>[11–13]</w:t>
      </w:r>
      <w:r w:rsidRPr="00D86888">
        <w:fldChar w:fldCharType="end"/>
      </w:r>
      <w:r w:rsidR="00C66C83" w:rsidRPr="00D86888">
        <w:t>.</w:t>
      </w:r>
      <w:r w:rsidRPr="00D86888">
        <w:t xml:space="preserve"> Furthermore, copper ions can enhance bone formation by maturation of collagen through lysyl oxidase crosslinking </w:t>
      </w:r>
      <w:r w:rsidRPr="00D86888">
        <w:fldChar w:fldCharType="begin" w:fldLock="1"/>
      </w:r>
      <w:r w:rsidR="0045705E">
        <w:instrText>ADDIN CSL_CITATION {"citationItems":[{"id":"ITEM-1","itemData":{"ISSN":"0963-6897","PMID":"16180655","abstract":"In many cases, the mechanical strengths of tissue-engineered arteries do not match the mechanical strengths of native arteries. Ultimate arterial strength is primarily dictated by collagen in the extracellular matrix, but collagen in engineered arteries is not as dense, as organized, or as mature as collagen in native arteries. One step in the maturation process of collagen is the formation of hydroxylysyl pyridinoline (HP) cross-links between and within collagen molecules. HP cross-link formation, which is triggered by the copper-activated enzyme lysyl oxidase, greatly increases collagen fibril stability and enhances tissue strength. Increased cross-link formation, in addition to increased collagen production, may yield a stronger engineered tissue. In this article, the effect of increasing culture medium copper ion concentration on engineered arterial tissue composition and mechanics was investigated. Engineered vessels grown in low copper ion concentrations for the first 4 weeks of culture, followed by higher copper ion concentrations for the last 3 weeks of culture, had significantly elevated levels of cross-link formation compared to those grown in low copper ion concentrations. In contrast, vessels grown in high copper ion concentrations throughout culture failed to develop higher collagen cross-link densities than those grown in low copper ion concentrations. Although the additional cross-linking of collagen in engineered vessels may provide collagen fibril stability and resistance to proteolysis, it failed to enhance global tissue strength.","author":[{"dropping-particle":"","family":"Dahl","given":"Shannon L M","non-dropping-particle":"","parse-names":false,"suffix":""},{"dropping-particle":"","family":"Rucker","given":"Robert B","non-dropping-particle":"","parse-names":false,"suffix":""},{"dropping-particle":"","family":"Niklason","given":"Laura E","non-dropping-particle":"","parse-names":false,"suffix":""}],"container-title":"Cell transplantation","id":"ITEM-1","issue":"6","issued":{"date-parts":[["2005"]]},"page":"367-374","title":"Effects of copper and cross-linking on the extracellular matrix of tissue-engineered arteries","type":"article-journal","volume":"14"},"uris":["http://www.mendeley.com/documents/?uuid=29c92d62-65f7-3fed-a29d-54607c723a39"]}],"mendeley":{"formattedCitation":"[14]","plainTextFormattedCitation":"[14]","previouslyFormattedCitation":"[14]"},"properties":{"noteIndex":0},"schema":"https://github.com/citation-style-language/schema/raw/master/csl-citation.json"}</w:instrText>
      </w:r>
      <w:r w:rsidRPr="00D86888">
        <w:fldChar w:fldCharType="separate"/>
      </w:r>
      <w:r w:rsidR="003C5B0C" w:rsidRPr="00D86888">
        <w:rPr>
          <w:noProof/>
        </w:rPr>
        <w:t>[14]</w:t>
      </w:r>
      <w:r w:rsidRPr="00D86888">
        <w:fldChar w:fldCharType="end"/>
      </w:r>
      <w:r w:rsidRPr="00D86888">
        <w:t xml:space="preserve"> and by inducing osteogenic differentiation of mesenchymal </w:t>
      </w:r>
      <w:r w:rsidRPr="00D86888">
        <w:lastRenderedPageBreak/>
        <w:t>stem cells (MSCs)</w:t>
      </w:r>
      <w:r w:rsidR="00C66C83" w:rsidRPr="00D86888">
        <w:t xml:space="preserve"> </w:t>
      </w:r>
      <w:r w:rsidRPr="00D86888">
        <w:fldChar w:fldCharType="begin" w:fldLock="1"/>
      </w:r>
      <w:r w:rsidR="0045705E">
        <w:instrText>ADDIN CSL_CITATION {"citationItems":[{"id":"ITEM-1","itemData":{"DOI":"10.1002/jcb.10111","ISSN":"07302312","PMID":"11891853","abstract":"Copper plays important functional roles in bone metabolism and turnover. It is known that it is essential for normal growth and development of the skeleton in humans and in animals. Although at present the exact role that copper plays in bone metabolism is unknown, bone abnormalities are a feature of severe copper deficiency. Osteoblasts are derived from mesenchymal stem cells (MSCs) present in bone marrow stroma, which are able to differentiate into bone, adipocytes, and other cell phenotypes. Excess adipogenesis in postmenopausal women may occur at the expense of osteogenesis and, therefore, may be an important factor in the fragility of postmenopausal bone. The purpose of this study was to evaluate whether an increase of the extracellular concentration of copper affects the ability of MSCs to differentiate into osteoblasts or adipocytes. The results showed that copper modified both the differentiation and the proliferative activity of MSCs obtained from postmenopausal women. Copper (50 microM) diminished the proliferation rate of MSCs, increasing their ability to differentiate into the osteogenic and the adipogenic lineages. Copper induced a 2-fold increase in osteogenic differentiation of MSCs, measured as a increase in calcium deposition. Copper (5 and 50 microM) diminished the expression of alkaline phosphatase (50 and 80%, respectively), but induced a shift in the expression of this enzyme to earlier times during culture. Copper also induced a 1.3-fold increase in the adipogenic differentiation of MSCs. It is concluded that copper stimulates MSC differentiation, and that this is preferentially towards the osteogenic lineage.","author":[{"dropping-particle":"","family":"Pablo Rodrguez","given":"J.","non-dropping-particle":"","parse-names":false,"suffix":""},{"dropping-particle":"","family":"Ros","given":"Susana","non-dropping-particle":"","parse-names":false,"suffix":""},{"dropping-particle":"","family":"Gonzlez","given":"Mauricio","non-dropping-particle":"","parse-names":false,"suffix":""}],"container-title":"Journal of Cellular Biochemistry","id":"ITEM-1","issue":"1","issued":{"date-parts":[["2002"]]},"page":"92-100","title":"Modulation of the proliferation and differentiation of human mesenchymal stem cells by copper","type":"article-journal","volume":"85"},"uris":["http://www.mendeley.com/documents/?uuid=c0c9164a-4e96-4c9a-a9e0-d990f6dd55fb"]}],"mendeley":{"formattedCitation":"[15]","plainTextFormattedCitation":"[15]","previouslyFormattedCitation":"[15]"},"properties":{"noteIndex":0},"schema":"https://github.com/citation-style-language/schema/raw/master/csl-citation.json"}</w:instrText>
      </w:r>
      <w:r w:rsidRPr="00D86888">
        <w:fldChar w:fldCharType="separate"/>
      </w:r>
      <w:r w:rsidR="003C5B0C" w:rsidRPr="00D86888">
        <w:rPr>
          <w:noProof/>
        </w:rPr>
        <w:t>[15]</w:t>
      </w:r>
      <w:r w:rsidRPr="00D86888">
        <w:fldChar w:fldCharType="end"/>
      </w:r>
      <w:r w:rsidR="00C66C83" w:rsidRPr="00D86888">
        <w:t>.</w:t>
      </w:r>
      <w:r w:rsidRPr="00D86888">
        <w:t xml:space="preserve"> The effect of copper on vascular stimulation results from its ability to stimulate bone marrow derived stem cells to produce vascular endothelial growth factor (VEGF); VEGF induces vascularization, which is essential for successful tissue regeneration</w:t>
      </w:r>
      <w:r w:rsidR="00C66C83" w:rsidRPr="00D86888">
        <w:t xml:space="preserve"> </w:t>
      </w:r>
      <w:r w:rsidRPr="00D86888">
        <w:fldChar w:fldCharType="begin" w:fldLock="1"/>
      </w:r>
      <w:r w:rsidR="0045705E">
        <w:instrText>ADDIN CSL_CITATION {"citationItems":[{"id":"ITEM-1","itemData":{"DOI":"10.1371/journal.pone.0113319","ISSN":"19326203","PMID":"25470000","abstract":"Bioactive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ONE","id":"ITEM-1","issue":"12","issued":{"date-parts":[["2014"]]},"page":"1-24","title":"Bioactive copper-doped glass scaffolds can stimulate endothelial cells in co-culture in combination with mesenchymal stem cells","type":"article-journal","volume":"9"},"uris":["http://www.mendeley.com/documents/?uuid=6ae8ea60-fdce-473d-8b01-bfb43a29cc7c"]},{"id":"ITEM-2","itemData":{"DOI":"10.1016/j.actbio.2011.03.016","ISBN":"1552-4981","ISSN":"15493296","PMID":"24027222","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Biomaterialia","id":"ITEM-2","issue":"6","issued":{"date-parts":[["2011"]]},"page":"2355-2373","title":"Bioactive glass in tissue engineering","type":"article-journal","volume":"7"},"uris":["http://www.mendeley.com/documents/?uuid=1bcca86c-ba13-4b53-ad93-a3a1b063e463"]}],"mendeley":{"formattedCitation":"[16,17]","plainTextFormattedCitation":"[16,17]","previouslyFormattedCitation":"[16,17]"},"properties":{"noteIndex":0},"schema":"https://github.com/citation-style-language/schema/raw/master/csl-citation.json"}</w:instrText>
      </w:r>
      <w:r w:rsidRPr="00D86888">
        <w:fldChar w:fldCharType="separate"/>
      </w:r>
      <w:r w:rsidR="003C5B0C" w:rsidRPr="00D86888">
        <w:rPr>
          <w:noProof/>
        </w:rPr>
        <w:t>[16,17]</w:t>
      </w:r>
      <w:r w:rsidRPr="00D86888">
        <w:fldChar w:fldCharType="end"/>
      </w:r>
      <w:r w:rsidR="00C66C83" w:rsidRPr="00D86888">
        <w:t>.</w:t>
      </w:r>
      <w:r w:rsidRPr="00D86888">
        <w:t xml:space="preserve"> Despite the promise of antimicrobial materials in the field of regenerative medicine, there is a trade-off between bacteria-killing ability and inducing toxic effects to healthy cells in the body and, therefore the dosage level of copper is critical. One strategy to control the dosing of copper is to deliver it locally at the defect site using a carrier material that modulates its release profile.</w:t>
      </w:r>
    </w:p>
    <w:p w14:paraId="025BF25A" w14:textId="74FFDB18" w:rsidR="007804A2" w:rsidRPr="00D86888" w:rsidRDefault="007804A2" w:rsidP="00432F4E">
      <w:r w:rsidRPr="00D86888">
        <w:t xml:space="preserve">Tissue engineered scaffolds </w:t>
      </w:r>
      <w:r w:rsidR="001E476A">
        <w:t xml:space="preserve">that </w:t>
      </w:r>
      <w:r w:rsidRPr="00D86888">
        <w:t xml:space="preserve">mimic the natural extracellular matrix </w:t>
      </w:r>
      <w:r w:rsidR="001E476A">
        <w:t>can</w:t>
      </w:r>
      <w:r w:rsidR="001E476A" w:rsidRPr="00D86888">
        <w:t xml:space="preserve"> </w:t>
      </w:r>
      <w:r w:rsidRPr="00D86888">
        <w:t>provide a template for tissue repair by providing structural support for cells in a 3D environment. In our lab, we have previously developed a series of highly porous collagen-based scaffolds for a variety of tissue regeneration applications</w:t>
      </w:r>
      <w:r w:rsidR="00C66C83" w:rsidRPr="00D86888">
        <w:t xml:space="preserve"> </w:t>
      </w:r>
      <w:r w:rsidRPr="00D86888">
        <w:fldChar w:fldCharType="begin" w:fldLock="1"/>
      </w:r>
      <w:r w:rsidR="0045705E">
        <w:instrText>ADDIN CSL_CITATION {"citationItems":[{"id":"ITEM-1","itemData":{"DOI":"10.1007/s11999-013-3438-0","ISBN":"1199901334","ISSN":"1528-1132","PMID":"24385037","abstract":"BACKGROUND: Treatment of segmental bone loss remains a major challenge in orthopaedic surgery. Traditional techniques (eg, autograft) and newer techniques (eg, recombinant human bone morphogenetic protein-2 [rhBMP-2]) have well-established performance limitations and safety concerns respectively. Consequently there is an unmet need for osteoinductive bone graft substitutes that may eliminate or reduce the use of rhBMP-2.\\n\\nQUESTIONS/PURPOSES: Using an established rabbit radius osteotomy defect model with positive (autogenous bone graft) and negative (empty sham) control groups, we asked: (1) whether a collagen-glycosaminoglycan scaffold alone can heal the defect, (2) whether the addition of hydroxyapatite particles to the collagen scaffold promote faster healing, and (3) whether the collagen-glycosaminoglycan and collagen-hydroxyapatite scaffolds are able to promote faster healing (by carrying a low dose rhBMP-2).\\n\\nMETHODS: A 15-mm transosseous radius defect in 4-month-old skeletally mature New Zealand White rabbits were treated with either collagen-hydroxyapatite or collagen-glycosaminoglycan scaffolds with and without rhBMP-2. Autogenous bone graft served as a positive control. Time-series radiographs at four intervals and postmortem micro-CT and histological analysis at 16 weeks were performed. Qualitative histological analysis of postmortem explants, and qualitative and volumetric 3-D analysis of standard radiographs and micro-CT scans enabled direct comparison of healing between test groups.\\n\\nRESULTS: Six weeks after implantation the collagen-glycosaminoglycan group had callus occupying greater than ½ the defect, whereas the sham (empty) control defect was still empty and the autogenous bone graft defect was completely filled with unremodeled bone. At 6 weeks, the collagen-hydroxyapatite scaffold groups showed greater defect filling with dense callus compared with the collagen-glycosaminoglycan controls. At 16 weeks, the autogenous bone graft groups showed evidence of early-stage medullary canal formation beginning at the proximal and distal defect borders. The collagen-glycosaminoglycan and collagen-glycosaminoglycan-rhBMP-2 groups had nearly complete medullary canal formation and anatomic healing at 16 weeks. However, collagen-hydroxyapatite-rhBMP-2 scaffolds showed the best levels of healing, exhibiting a dense callus which completely filled the defect.\\n\\nCONCLUSIONS: The collagen-hydroxyapatite scaffold showed comparable healing to the cu…","author":[{"dropping-particle":"","family":"Lyons","given":"Frank G","non-dropping-particle":"","parse-names":false,"suffix":""},{"dropping-particle":"","family":"Gleeson","given":"John P","non-dropping-particle":"","parse-names":false,"suffix":""},{"dropping-particle":"","family":"Partap","given":"Sonia","non-dropping-particle":"","parse-names":false,"suffix":""},{"dropping-particle":"","family":"Coghlan","given":"Karen","non-dropping-particle":"","parse-names":false,"suffix":""},{"dropping-particle":"","family":"O'Brien","given":"Fergal J","non-dropping-particle":"","parse-names":false,"suffix":""}],"container-title":"Clinical orthopaedics and related research","id":"ITEM-1","issue":"4","issued":{"date-parts":[["2014"]]},"page":"1318-1328","title":"Novel microhydroxyapatite particles in a collagen scaffold: a bioactive bone void filler?","type":"article-journal","volume":"472"},"uris":["http://www.mendeley.com/documents/?uuid=c96e5681-3ba0-4f7f-9724-69540f7431ef"]},{"id":"ITEM-2","itemData":{"DOI":"10.1016/j.biomaterials.2015.09.003","author":[{"dropping-particle":"","family":"Ryan","given":"Alan James","non-dropping-particle":"","parse-names":false,"suffix":""},{"dropping-particle":"","family":"O'Brien","given":"Fergal J","non-dropping-particle":"","parse-names":false,"suffix":""}],"container-title":"Biomaterials","id":"ITEM-2","issue":"July 2016","issued":{"date-parts":[["2015"]]},"page":"296-307","title":"Insoluble elastin reduces collagen scaffold stiffness, improves viscoelastic properties, and induces a contractile phenotype in smooth muscle cells","type":"article-journal","volume":"73"},"uris":["http://www.mendeley.com/documents/?uuid=db7ed85a-965c-4d41-b530-45057c23857b"]},{"id":"ITEM-3","itemData":{"author":[{"dropping-particle":"","family":"Roche","given":"Phoebe","non-dropping-particle":"","parse-names":false,"suffix":""},{"dropping-particle":"","family":"Alekseeva","given":"Tijna","non-dropping-particle":"","parse-names":false,"suffix":""},{"dropping-particle":"","family":"Widaa","given":"Amro","non-dropping-particle":"","parse-names":false,"suffix":""},{"dropping-particle":"","family":"Ryan","given":"Alan J","non-dropping-particle":"","parse-names":false,"suffix":""},{"dropping-particle":"","family":"Matsiko","given":"Amos","non-dropping-particle":"","parse-names":false,"suffix":""},{"dropping-particle":"","family":"Duffy","given":"Garry","non-dropping-particle":"","parse-names":false,"suffix":""},{"dropping-particle":"","family":"O’Brien","given":"Fergal J.","non-dropping-particle":"","parse-names":false,"suffix":""},{"dropping-particle":"","family":"Walsh","given":"Michael","non-dropping-particle":"","parse-names":false,"suffix":""}],"container-title":"Irish Journal of Medical Science","id":"ITEM-3","issue":"184","issued":{"date-parts":[["2015"]]},"page":"116","title":"Olfactory neurospheres and peripheral nerve regeneration in a pre clinical model","type":"article-journal"},"uris":["http://www.mendeley.com/documents/?uuid=7d13648d-214a-4f82-adb0-ec9c454a8299"]},{"id":"ITEM-4","itemData":{"DOI":"10.1016/j.biomaterials.2016.02.006","ISSN":"0142-9612","author":[{"dropping-particle":"","family":"Levingstone","given":"Tanya J","non-dropping-particle":"","parse-names":false,"suffix":""},{"dropping-particle":"","family":"Ramesh","given":"Ashwanth","non-dropping-particle":"","parse-names":false,"suffix":""},{"dropping-particle":"","family":"Brady","given":"Robert T","non-dropping-particle":"","parse-names":false,"suffix":""},{"dropping-particle":"","family":"Brama","given":"Pieter A J","non-dropping-particle":"","parse-names":false,"suffix":""},{"dropping-particle":"","family":"Kearney","given":"Clodagh","non-dropping-particle":"","parse-names":false,"suffix":""},{"dropping-particle":"","family":"Gleeson","given":"John P","non-dropping-particle":"","parse-names":false,"suffix":""},{"dropping-particle":"","family":"O'Brien","given":"Fergal J","non-dropping-particle":"","parse-names":false,"suffix":""}],"container-title":"Biomaterials","id":"ITEM-4","issued":{"date-parts":[["2016"]]},"page":"69-81","publisher":"Elsevier Ltd","title":"Cell-free multi-layered collagen-based scaffolds demonstrate layer specific regeneration of functional osteochondral tissue in caprine joints","type":"article-journal","volume":"87"},"uris":["http://www.mendeley.com/documents/?uuid=c6d780f3-8a67-4f74-957d-00407f117b7a"]},{"id":"ITEM-5","itemData":{"DOI":"10.1016/j.biomaterials.2016.01.065","ISSN":"0142-9612","author":[{"dropping-particle":"","family":"O'Leary","given":"Cian","non-dropping-particle":"","parse-names":false,"suffix":""},{"dropping-particle":"","family":"Cavanagh","given":"Brenton","non-dropping-particle":"","parse-names":false,"suffix":""},{"dropping-particle":"","family":"Unger","given":"Ronald E","non-dropping-particle":"","parse-names":false,"suffix":""},{"dropping-particle":"","family":"Kirkpatrick","given":"C James","non-dropping-particle":"","parse-names":false,"suffix":""},{"dropping-particle":"","family":"Dea","given":"Shirley O","non-dropping-particle":"","parse-names":false,"suffix":""},{"dropping-particle":"","family":"O'Brien","given":"Fergal J","non-dropping-particle":"","parse-names":false,"suffix":""},{"dropping-particle":"","family":"Cryan","given":"Sally-ann","non-dropping-particle":"","parse-names":false,"suffix":""}],"container-title":"Biomaterials","id":"ITEM-5","issued":{"date-parts":[["2016"]]},"page":"111-127","publisher":"Elsevier Ltd","title":"The development of a tissue-engineered tracheobronchial epithelial model using a bilayered collagen-hyaluronate scaffold","type":"article-journal","volume":"85"},"uris":["http://www.mendeley.com/documents/?uuid=5ef99319-6770-4f5b-b26c-f16431f6be56"]}],"mendeley":{"formattedCitation":"[18–22]","plainTextFormattedCitation":"[18–22]","previouslyFormattedCitation":"[18–22]"},"properties":{"noteIndex":0},"schema":"https://github.com/citation-style-language/schema/raw/master/csl-citation.json"}</w:instrText>
      </w:r>
      <w:r w:rsidRPr="00D86888">
        <w:fldChar w:fldCharType="separate"/>
      </w:r>
      <w:r w:rsidR="003C5B0C" w:rsidRPr="00D86888">
        <w:rPr>
          <w:noProof/>
        </w:rPr>
        <w:t>[18–22]</w:t>
      </w:r>
      <w:r w:rsidRPr="00D86888">
        <w:fldChar w:fldCharType="end"/>
      </w:r>
      <w:r w:rsidR="00C66C83" w:rsidRPr="00D86888">
        <w:t>.</w:t>
      </w:r>
      <w:r w:rsidRPr="00D86888">
        <w:t xml:space="preserve"> Collagen is natural, biodegradable, facilitates cell attachment and migration, and does not elicit</w:t>
      </w:r>
      <w:r w:rsidR="00C66C83" w:rsidRPr="00D86888">
        <w:t xml:space="preserve"> a host immune response </w:t>
      </w:r>
      <w:r w:rsidRPr="00D86888">
        <w:fldChar w:fldCharType="begin" w:fldLock="1"/>
      </w:r>
      <w:r w:rsidR="0045705E">
        <w:instrText>ADDIN CSL_CITATION {"citationItems":[{"id":"ITEM-1","itemData":{"DOI":"10.1016/S1369-7021(11)70058-X","ISSN":"1369-7021","author":[{"dropping-particle":"","family":"O'Brien","given":"Fergal J.","non-dropping-particle":"","parse-names":false,"suffix":""}],"container-title":"Materials Today","id":"ITEM-1","issue":"3","issued":{"date-parts":[["2011"]]},"page":"88-95","publisher":"Elsevier Ltd","title":"Biomaterials &amp; scaffolds for tissue engineering","type":"article-journal","volume":"14"},"uris":["http://www.mendeley.com/documents/?uuid=0f7a22d5-ce0d-4745-96bb-5c925fc647bd"]}],"mendeley":{"formattedCitation":"[23]","plainTextFormattedCitation":"[23]","previouslyFormattedCitation":"[23]"},"properties":{"noteIndex":0},"schema":"https://github.com/citation-style-language/schema/raw/master/csl-citation.json"}</w:instrText>
      </w:r>
      <w:r w:rsidRPr="00D86888">
        <w:fldChar w:fldCharType="separate"/>
      </w:r>
      <w:r w:rsidR="003C5B0C" w:rsidRPr="00D86888">
        <w:rPr>
          <w:noProof/>
        </w:rPr>
        <w:t>[23]</w:t>
      </w:r>
      <w:r w:rsidRPr="00D86888">
        <w:fldChar w:fldCharType="end"/>
      </w:r>
      <w:r w:rsidR="00C66C83" w:rsidRPr="00D86888">
        <w:t>.</w:t>
      </w:r>
      <w:r w:rsidRPr="00D86888">
        <w:t xml:space="preserve"> In bone, it makes up 89% of the organic matrix and 32% of th</w:t>
      </w:r>
      <w:r w:rsidR="00C66C83" w:rsidRPr="00D86888">
        <w:t xml:space="preserve">e volumetric composition </w:t>
      </w:r>
      <w:r w:rsidRPr="00D86888">
        <w:fldChar w:fldCharType="begin" w:fldLock="1"/>
      </w:r>
      <w:r w:rsidR="0045705E">
        <w:instrText>ADDIN CSL_CITATION {"citationItems":[{"id":"ITEM-1","itemData":{"DOI":"10.1016/S1369-7021(11)70058-X","ISSN":"1369-7021","author":[{"dropping-particle":"","family":"O'Brien","given":"Fergal J.","non-dropping-particle":"","parse-names":false,"suffix":""}],"container-title":"Materials Today","id":"ITEM-1","issue":"3","issued":{"date-parts":[["2011"]]},"page":"88-95","publisher":"Elsevier Ltd","title":"Biomaterials &amp; scaffolds for tissue engineering","type":"article-journal","volume":"14"},"uris":["http://www.mendeley.com/documents/?uuid=0f7a22d5-ce0d-4745-96bb-5c925fc647bd"]}],"mendeley":{"formattedCitation":"[23]","plainTextFormattedCitation":"[23]","previouslyFormattedCitation":"[23]"},"properties":{"noteIndex":0},"schema":"https://github.com/citation-style-language/schema/raw/master/csl-citation.json"}</w:instrText>
      </w:r>
      <w:r w:rsidRPr="00D86888">
        <w:fldChar w:fldCharType="separate"/>
      </w:r>
      <w:r w:rsidR="003C5B0C" w:rsidRPr="00D86888">
        <w:rPr>
          <w:noProof/>
        </w:rPr>
        <w:t>[23]</w:t>
      </w:r>
      <w:r w:rsidRPr="00D86888">
        <w:fldChar w:fldCharType="end"/>
      </w:r>
      <w:r w:rsidR="001E476A">
        <w:t>;</w:t>
      </w:r>
      <w:r w:rsidRPr="00D86888">
        <w:t xml:space="preserve"> however, collagen scaffolds </w:t>
      </w:r>
      <w:r w:rsidR="001E476A">
        <w:t xml:space="preserve">typically </w:t>
      </w:r>
      <w:r w:rsidRPr="00D86888">
        <w:t xml:space="preserve">have poor compressive strength in comparison to native bone. Therefore, </w:t>
      </w:r>
      <w:r w:rsidR="00C80672">
        <w:t xml:space="preserve">for use as </w:t>
      </w:r>
      <w:r w:rsidRPr="00D86888">
        <w:t>scaffolds for bone tissue engineering, it is advantageous to combine collagen with another material for structural integrity</w:t>
      </w:r>
      <w:r w:rsidR="00921F9C">
        <w:t>. By careful selection of the secondary material, additional advantages can be added to the collagen scaffold system (e.g., osteogenic ceramics like hydroxyapatite</w:t>
      </w:r>
      <w:r w:rsidR="00907868">
        <w:t xml:space="preserve"> </w:t>
      </w:r>
      <w:r w:rsidR="00907868">
        <w:fldChar w:fldCharType="begin" w:fldLock="1"/>
      </w:r>
      <w:r w:rsidR="0045705E">
        <w:instrText>ADDIN CSL_CITATION {"citationItems":[{"id":"ITEM-1","itemData":{"DOI":"10.1021/acsami.6b06596","ISSN":"19448252","PMID":"27537605","abstract":"The use of collagen-based scaffolds in orthopedic applications has been limited due to poor mechanical properties, but this may be overcome by the introduction of a stiffer supporting phase. Thus, we developed a synthesis technique to produce nonaggregating, stable nanohydroxyapatite (nHA) particles, permitting the fabrication of biomimetic-inspired scaffolds through the combination of nanosized HA with collagen, as found in native bone. This study evaluates the mechanical and biological impact of incorporating increasing concentrations of these nanoparticles into porous collagen scaffolds (1:1 and 5:1 weight ratios of nHA/collagen). Mechanical assessment demonstrated that increasing nHA incorporation correlated with increasing Young’s moduli, which could be further amplified using cross-linking treatments. Typically, the porosity of a scaffold is sacrificed to produce a stiffer material; however, through the use of nanosized particles the inclusion of up to 5:1 nHA/collagen content still preserved the hi...","author":[{"dropping-particle":"","family":"Cunniffe","given":"Gráinne M.","non-dropping-particle":"","parse-names":false,"suffix":""},{"dropping-particle":"","family":"Curtin","given":"Caroline M.","non-dropping-particle":"","parse-names":false,"suffix":""},{"dropping-particle":"","family":"Thompson","given":"Emmet M.","non-dropping-particle":"","parse-names":false,"suffix":""},{"dropping-particle":"","family":"Dickson","given":"Glenn R.","non-dropping-particle":"","parse-names":false,"suffix":""},{"dropping-particle":"","family":"O'Brien","given":"Fergal J.","non-dropping-particle":"","parse-names":false,"suffix":""}],"container-title":"ACS Applied Materials and Interfaces","id":"ITEM-1","issue":"36","issued":{"date-parts":[["2016"]]},"page":"23477-23488","title":"Content-dependent osteogenic response of nanohydroxyapatite: an in vitro and in vivo assessment within collagen-based scaffolds","type":"article-journal","volume":"8"},"uris":["http://www.mendeley.com/documents/?uuid=59ebae13-5c4d-43c9-9d6c-d16316a21c23"]}],"mendeley":{"formattedCitation":"[24]","plainTextFormattedCitation":"[24]","previouslyFormattedCitation":"[24]"},"properties":{"noteIndex":0},"schema":"https://github.com/citation-style-language/schema/raw/master/csl-citation.json"}</w:instrText>
      </w:r>
      <w:r w:rsidR="00907868">
        <w:fldChar w:fldCharType="separate"/>
      </w:r>
      <w:r w:rsidR="00907868" w:rsidRPr="00907868">
        <w:rPr>
          <w:noProof/>
        </w:rPr>
        <w:t>[24]</w:t>
      </w:r>
      <w:r w:rsidR="00907868">
        <w:fldChar w:fldCharType="end"/>
      </w:r>
      <w:r w:rsidR="00907868">
        <w:t xml:space="preserve"> </w:t>
      </w:r>
      <w:r w:rsidR="00921F9C">
        <w:t xml:space="preserve">or </w:t>
      </w:r>
      <w:r w:rsidRPr="00D86888">
        <w:t>bioactive glass</w:t>
      </w:r>
      <w:r w:rsidR="00921F9C">
        <w:t>)</w:t>
      </w:r>
      <w:r w:rsidRPr="00D86888">
        <w:t>.</w:t>
      </w:r>
    </w:p>
    <w:p w14:paraId="1C6D2809" w14:textId="08592985" w:rsidR="007804A2" w:rsidRPr="00D86888" w:rsidRDefault="00352E94" w:rsidP="00432F4E">
      <w:r>
        <w:t xml:space="preserve">For this reason, we have utilised </w:t>
      </w:r>
      <w:r w:rsidR="007804A2" w:rsidRPr="00D86888">
        <w:t xml:space="preserve">copper-doped bioactive glass (CuBG) as a non-antibiotic antibacterial that can stimulate bone regeneration, </w:t>
      </w:r>
      <w:r w:rsidRPr="00D86888">
        <w:t>whi</w:t>
      </w:r>
      <w:r>
        <w:t xml:space="preserve">ch we hypothesised might also </w:t>
      </w:r>
      <w:r w:rsidRPr="00D86888">
        <w:t>enhanc</w:t>
      </w:r>
      <w:r>
        <w:t>e</w:t>
      </w:r>
      <w:r w:rsidRPr="00D86888">
        <w:t xml:space="preserve"> </w:t>
      </w:r>
      <w:r>
        <w:t xml:space="preserve">the </w:t>
      </w:r>
      <w:r w:rsidRPr="00D86888">
        <w:t xml:space="preserve">stiffness </w:t>
      </w:r>
      <w:r>
        <w:t xml:space="preserve">of a </w:t>
      </w:r>
      <w:r w:rsidR="007804A2" w:rsidRPr="00D86888">
        <w:t>collagen scaffold. Bioactive glass is an osteoinductive, biocompatible, and biodegradable material t</w:t>
      </w:r>
      <w:r w:rsidR="007804A2" w:rsidRPr="00D86888">
        <w:rPr>
          <w:rFonts w:eastAsia="Times New Roman"/>
        </w:rPr>
        <w:t>hat was f</w:t>
      </w:r>
      <w:r w:rsidR="007804A2" w:rsidRPr="00D86888">
        <w:t xml:space="preserve">irst developed by </w:t>
      </w:r>
      <w:r>
        <w:t xml:space="preserve">Larry </w:t>
      </w:r>
      <w:r w:rsidR="007804A2" w:rsidRPr="00D86888">
        <w:t xml:space="preserve">Hench </w:t>
      </w:r>
      <w:r>
        <w:t>and colleagues</w:t>
      </w:r>
      <w:r w:rsidR="007804A2" w:rsidRPr="00D86888">
        <w:t xml:space="preserve"> in 1969</w:t>
      </w:r>
      <w:r w:rsidR="00C66C83" w:rsidRPr="00D86888">
        <w:t xml:space="preserve"> </w:t>
      </w:r>
      <w:r w:rsidR="007804A2" w:rsidRPr="00D86888">
        <w:fldChar w:fldCharType="begin" w:fldLock="1"/>
      </w:r>
      <w:r w:rsidR="0045705E">
        <w:instrText>ADDIN CSL_CITATION {"citationItems":[{"id":"ITEM-1","itemData":{"DOI":"10.1002/jbm.820050611","ISBN":"1097-4636","ISSN":"0021-9304","abstract":"The development of a bone-bonding calcia-phosposilicate glass-ceramic is discussed. A theoretical model to explain the interfacial bonding is based upon in-vitro studies of glass-ceramic solubility in interfacial hydroxyapatite crystallization mechanisms, com- pared with in-vivo rat femur implant histology and ultrastructure results.","author":[{"dropping-particle":"","family":"Hench","given":"L. L.","non-dropping-particle":"","parse-names":false,"suffix":""},{"dropping-particle":"","family":"Splinter","given":"R. J.","non-dropping-particle":"","parse-names":false,"suffix":""},{"dropping-particle":"","family":"Allen","given":"W. C.","non-dropping-particle":"","parse-names":false,"suffix":""},{"dropping-particle":"","family":"Greenlee","given":"T. K.","non-dropping-particle":"","parse-names":false,"suffix":""}],"container-title":"Journal of Biomedical Materials Research","id":"ITEM-1","issue":"6","issued":{"date-parts":[["1971"]]},"page":"117-141","title":"Bonding mechanisms at the interface of ceramic prosthetic materials","type":"article-journal","volume":"5"},"uris":["http://www.mendeley.com/documents/?uuid=928de995-6733-4f86-a343-a46458532cd2"]}],"mendeley":{"formattedCitation":"[25]","plainTextFormattedCitation":"[25]","previouslyFormattedCitation":"[25]"},"properties":{"noteIndex":0},"schema":"https://github.com/citation-style-language/schema/raw/master/csl-citation.json"}</w:instrText>
      </w:r>
      <w:r w:rsidR="007804A2" w:rsidRPr="00D86888">
        <w:fldChar w:fldCharType="separate"/>
      </w:r>
      <w:r w:rsidR="00907868" w:rsidRPr="00907868">
        <w:rPr>
          <w:noProof/>
        </w:rPr>
        <w:t>[25]</w:t>
      </w:r>
      <w:r w:rsidR="007804A2" w:rsidRPr="00D86888">
        <w:fldChar w:fldCharType="end"/>
      </w:r>
      <w:r w:rsidR="00C66C83" w:rsidRPr="00D86888">
        <w:t>.</w:t>
      </w:r>
      <w:r w:rsidR="007804A2" w:rsidRPr="00D86888">
        <w:t xml:space="preserve"> Bioactive glass is usually fabricated from a combination of calcium, phosphorous, silica, and sodium. Upon implantation, a layer of hydroxyapatite forms on the surface of BG that can develop firm bonds with bone and soft tissue</w:t>
      </w:r>
      <w:r w:rsidR="00C66C83" w:rsidRPr="00D86888">
        <w:t xml:space="preserve"> </w:t>
      </w:r>
      <w:r w:rsidR="007804A2" w:rsidRPr="00D86888">
        <w:fldChar w:fldCharType="begin" w:fldLock="1"/>
      </w:r>
      <w:r w:rsidR="0045705E">
        <w:instrText>ADDIN CSL_CITATION {"citationItems":[{"id":"ITEM-1","itemData":{"DOI":"10.1016/j.actbio.2011.03.016","ISBN":"1552-4981","ISSN":"15493296","PMID":"24027222","author":[{"dropping-particle":"","family":"Rahaman","given":"Mohamed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Biomaterialia","id":"ITEM-1","issue":"6","issued":{"date-parts":[["2011"]]},"page":"2355-2373","title":"Bioactive glass in tissue engineering","type":"article-journal","volume":"7"},"uris":["http://www.mendeley.com/documents/?uuid=1bcca86c-ba13-4b53-ad93-a3a1b063e463"]},{"id":"ITEM-2","itemData":{"DOI":"10.1002/jbm.820050611","ISBN":"1097-4636","ISSN":"0021-9304","abstract":"The development of a bone-bonding calcia-phosposilicate glass-ceramic is discussed. A theoretical model to explain the interfacial bonding is based upon in-vitro studies of glass-ceramic solubility in interfacial hydroxyapatite crystallization mechanisms, com- pared with in-vivo rat femur implant histology and ultrastructure results.","author":[{"dropping-particle":"","family":"Hench","given":"L. L.","non-dropping-particle":"","parse-names":false,"suffix":""},{"dropping-particle":"","family":"Splinter","given":"R. J.","non-dropping-particle":"","parse-names":false,"suffix":""},{"dropping-particle":"","family":"Allen","given":"W. C.","non-dropping-particle":"","parse-names":false,"suffix":""},{"dropping-particle":"","family":"Greenlee","given":"T. K.","non-dropping-particle":"","parse-names":false,"suffix":""}],"container-title":"Journal of Biomedical Materials Research","id":"ITEM-2","issue":"6","issued":{"date-parts":[["1971"]]},"page":"117-141","title":"Bonding mechanisms at the interface of ceramic prosthetic materials","type":"article-journal","volume":"5"},"uris":["http://www.mendeley.com/documents/?uuid=928de995-6733-4f86-a343-a46458532cd2"]}],"mendeley":{"formattedCitation":"[17,25]","plainTextFormattedCitation":"[17,25]","previouslyFormattedCitation":"[17,25]"},"properties":{"noteIndex":0},"schema":"https://github.com/citation-style-language/schema/raw/master/csl-citation.json"}</w:instrText>
      </w:r>
      <w:r w:rsidR="007804A2" w:rsidRPr="00D86888">
        <w:fldChar w:fldCharType="separate"/>
      </w:r>
      <w:r w:rsidR="00907868" w:rsidRPr="00907868">
        <w:rPr>
          <w:noProof/>
        </w:rPr>
        <w:t>[17,25]</w:t>
      </w:r>
      <w:r w:rsidR="007804A2" w:rsidRPr="00D86888">
        <w:fldChar w:fldCharType="end"/>
      </w:r>
      <w:r w:rsidR="00C66C83" w:rsidRPr="00D86888">
        <w:t>.</w:t>
      </w:r>
      <w:r w:rsidR="007804A2" w:rsidRPr="00D86888">
        <w:t xml:space="preserve"> Following this, growth factors are thought to readily bind to the apatite layer and cellular attachment ensues. Osteoprogenitor cells are then differentiated into osteoblastic cells due to the hydroxyapatite stimulus and result in bone formation. BonAlive (BAG-S53P4) is a commercial bioactive glass product currently being used to treat osteomyelitis, whose antibacterial activity is attributed solely to local pH and osmotic pressure changes</w:t>
      </w:r>
      <w:r w:rsidR="00C66C83" w:rsidRPr="00D86888">
        <w:t xml:space="preserve"> </w:t>
      </w:r>
      <w:r w:rsidR="007804A2" w:rsidRPr="00D86888">
        <w:fldChar w:fldCharType="begin" w:fldLock="1"/>
      </w:r>
      <w:r w:rsidR="0045705E">
        <w:instrText>ADDIN CSL_CITATION {"citationItems":[{"id":"ITEM-1","itemData":{"DOI":"doi: 10.1007/5584_2016_156","author":[{"dropping-particle":"","family":"Lindfors","given":"N","non-dropping-particle":"","parse-names":false,"suffix":""},{"dropping-particle":"","family":"Geurts","given":"J","non-dropping-particle":"","parse-names":false,"suffix":""},{"dropping-particle":"","family":"Hyvonen","given":"P","non-dropping-particle":"","parse-names":false,"suffix":""},{"dropping-particle":"","family":"Suda","given":"A","non-dropping-particle":"","parse-names":false,"suffix":""},{"dropping-particle":"","family":"Domenico","given":"A","non-dropping-particle":"","parse-names":false,"suffix":""},{"dropping-particle":"","family":"Artiaco","given":"S","non-dropping-particle":"","parse-names":false,"suffix":""},{"dropping-particle":"","family":"Alizadeh","given":"C","non-dropping-particle":"","parse-names":false,"suffix":""},{"dropping-particle":"","family":"Brychcy","given":"A","non-dropping-particle":"","parse-names":false,"suffix":""},{"dropping-particle":"","family":"Bialecki","given":"J","non-dropping-particle":"","parse-names":false,"suffix":""},{"dropping-particle":"","family":"Romano","given":"C","non-dropping-particle":"","parse-names":false,"suffix":""}],"container-title":"Advances in experimental medicine and biology","id":"ITEM-1","issued":{"date-parts":[["2017"]]},"page":"81-92","title":"Antibacterial bioactive glass, S53P4, for chronic bone infections – A multinational study","type":"article-journal","volume":"971"},"uris":["http://www.mendeley.com/documents/?uuid=c230aa55-2b34-445a-aae2-95daf74aae61"]}],"mendeley":{"formattedCitation":"[26]","plainTextFormattedCitation":"[26]","previouslyFormattedCitation":"[26]"},"properties":{"noteIndex":0},"schema":"https://github.com/citation-style-language/schema/raw/master/csl-citation.json"}</w:instrText>
      </w:r>
      <w:r w:rsidR="007804A2" w:rsidRPr="00D86888">
        <w:fldChar w:fldCharType="separate"/>
      </w:r>
      <w:r w:rsidR="00907868" w:rsidRPr="00907868">
        <w:rPr>
          <w:noProof/>
        </w:rPr>
        <w:t>[26]</w:t>
      </w:r>
      <w:r w:rsidR="007804A2" w:rsidRPr="00D86888">
        <w:fldChar w:fldCharType="end"/>
      </w:r>
      <w:r w:rsidR="00C66C83" w:rsidRPr="00D86888">
        <w:t>.</w:t>
      </w:r>
      <w:r w:rsidR="007804A2" w:rsidRPr="00D86888">
        <w:t xml:space="preserve"> However, other elements </w:t>
      </w:r>
      <w:r>
        <w:t>can be</w:t>
      </w:r>
      <w:r w:rsidR="007804A2" w:rsidRPr="00D86888">
        <w:t xml:space="preserve"> substituted into the silica network for enhanced bioactivity including stimulation of angiogenesis (e.g. cobalt),</w:t>
      </w:r>
      <w:r w:rsidR="007804A2" w:rsidRPr="00D86888">
        <w:fldChar w:fldCharType="begin" w:fldLock="1"/>
      </w:r>
      <w:r w:rsidR="0045705E">
        <w:instrText>ADDIN CSL_CITATION {"citationItems":[{"id":"ITEM-1","itemData":{"DOI":"10.1016/j.biomaterials.2015.02.006","ISBN":"1878-5905 (Electronic)\\r0142-9612 (Linking)","ISSN":"18785905","PMID":"25818442","abstract":"One of the biggest challenges in regenerative medicine is promoting sufficient vascularisation of tissue-engineered constructs. One approach to overcome this challenge is to target the cellular hypoxia inducible factor (HIF-1??) pathway, which responds to low oxygen concentration (hypoxia) and results in the activation of numerous pro-angiogenic genes including vascular endothelial growth factor (VEGF). Cobalt ions are known to mimic hypoxia by artificially stabilising the HIF-1?? transcription factor. Here, resorbable bioactive glass particles (38??m and 100??m) with cobalt ions incorporated into the glass network were used to create bioactive glass/collagen-glycosaminoglycan scaffolds optimised for bone tissue engineering. Inclusion of the bioactive glass improved the compressive modulus of the resulting composite scaffolds while maintaining high degrees of porosity (&gt;97%). Moreover, invitro analysis demonstrated that the incorporation of cobalt bioactive glass with a mean particle size of 100??m significantly enhanced the production and expression of VEGF in endothelial cells, and cobalt bioactive glass/collagen-glycosaminoglycan scaffold conditioned media also promoted enhanced tubule formation. Furthermore, our results prove the ability of these scaffolds to support osteoblast cell proliferation and osteogenesis in all bioactive glass/collagen-glycosaminoglycan scaffolds irrespective of the particle size. In summary, we have developed a hypoxia-mimicking tissue-engineered scaffold with pro-angiogenic and pro-osteogenic capabilities that may encourage bone tissue regeneration and overcome the problem of inadequate vascularisation of grafts commonly seen in the field of tissue engineering.","author":[{"dropping-particle":"","family":"Quinlan","given":"Elaine","non-dropping-particle":"","parse-names":false,"suffix":""},{"dropping-particle":"","family":"Partap","given":"Sonia","non-dropping-particle":"","parse-names":false,"suffix":""},{"dropping-particle":"","family":"Azevedo","given":"Maria M.","non-dropping-particle":"","parse-names":false,"suffix":""},{"dropping-particle":"","family":"Jell","given":"Gavin","non-dropping-particle":"","parse-names":false,"suffix":""},{"dropping-particle":"","family":"Stevens","given":"Molly M.","non-dropping-particle":"","parse-names":false,"suffix":""},{"dropping-particle":"","family":"O'Brien","given":"Fergal J.","non-dropping-particle":"","parse-names":false,"suffix":""}],"container-title":"Biomaterials","id":"ITEM-1","issue":"1","issued":{"date-parts":[["2015"]]},"page":"358-366","title":"Hypoxia-mimicking bioactive glass/collagen glycosaminoglycan composite scaffolds to enhance angiogenesis and bone repair","type":"article-journal","volume":"52"},"uris":["http://www.mendeley.com/documents/?uuid=cfee6b3d-098f-41e2-81db-9f10688d6b0f","http://www.mendeley.com/documents/?uuid=955b8b72-6a8c-4769-8c24-a97aaf28d3a1"]}],"mendeley":{"formattedCitation":"[27]","plainTextFormattedCitation":"[27]","previouslyFormattedCitation":"[27]"},"properties":{"noteIndex":0},"schema":"https://github.com/citation-style-language/schema/raw/master/csl-citation.json"}</w:instrText>
      </w:r>
      <w:r w:rsidR="007804A2" w:rsidRPr="00D86888">
        <w:fldChar w:fldCharType="separate"/>
      </w:r>
      <w:r w:rsidR="00907868" w:rsidRPr="00907868">
        <w:rPr>
          <w:noProof/>
        </w:rPr>
        <w:t>[27]</w:t>
      </w:r>
      <w:r w:rsidR="007804A2" w:rsidRPr="00D86888">
        <w:fldChar w:fldCharType="end"/>
      </w:r>
      <w:r w:rsidR="007804A2" w:rsidRPr="00D86888">
        <w:t xml:space="preserve"> bone formation (e.g. zinc)</w:t>
      </w:r>
      <w:r w:rsidR="00C66C83" w:rsidRPr="00D86888">
        <w:t xml:space="preserve"> </w:t>
      </w:r>
      <w:r w:rsidR="007804A2" w:rsidRPr="00D86888">
        <w:fldChar w:fldCharType="begin" w:fldLock="1"/>
      </w:r>
      <w:r w:rsidR="0045705E">
        <w:instrText>ADDIN CSL_CITATION {"citationItems":[{"id":"ITEM-1","itemData":{"DOI":"10.1002/jbm.a.20070","author":[{"dropping-particle":"","family":"Oki","given":"Aderemi","non-dropping-particle":"","parse-names":false,"suffix":""},{"dropping-particle":"","family":"Parveen","given":"Bushra","non-dropping-particle":"","parse-names":false,"suffix":""},{"dropping-particle":"","family":"Hossain","given":"Safiyyah","non-dropping-particle":"","parse-names":false,"suffix":""},{"dropping-particle":"","family":"Adeniji","given":"S","non-dropping-particle":"","parse-names":false,"suffix":""},{"dropping-particle":"","family":"Donahue","given":"Henry","non-dropping-particle":"","parse-names":false,"suffix":""}],"container-title":"Journal of Biomedical Materials Research, Part A","id":"ITEM-1","issue":"2","issued":{"date-parts":[["2004"]]},"page":"216-221","title":"Preparation and in vitro bioactivity of zinc containing sol-gel – derived bioglass materials","type":"article-journal","volume":"69"},"uris":["http://www.mendeley.com/documents/?uuid=4928ecc9-d347-4607-ae24-f1357a810f59","http://www.mendeley.com/documents/?uuid=76f7642b-0f9e-4cd7-9184-0a33fe62342d"]}],"mendeley":{"formattedCitation":"[28]","plainTextFormattedCitation":"[28]","previouslyFormattedCitation":"[28]"},"properties":{"noteIndex":0},"schema":"https://github.com/citation-style-language/schema/raw/master/csl-citation.json"}</w:instrText>
      </w:r>
      <w:r w:rsidR="007804A2" w:rsidRPr="00D86888">
        <w:fldChar w:fldCharType="separate"/>
      </w:r>
      <w:r w:rsidR="00907868" w:rsidRPr="00907868">
        <w:rPr>
          <w:noProof/>
        </w:rPr>
        <w:t>[28]</w:t>
      </w:r>
      <w:r w:rsidR="007804A2" w:rsidRPr="00D86888">
        <w:fldChar w:fldCharType="end"/>
      </w:r>
      <w:r w:rsidR="00C66C83" w:rsidRPr="00D86888">
        <w:t xml:space="preserve">, </w:t>
      </w:r>
      <w:r w:rsidR="007804A2" w:rsidRPr="00D86888">
        <w:t>and, most importantly in this applicati</w:t>
      </w:r>
      <w:r w:rsidR="00D905D1">
        <w:t>on, antimicrobial activity (</w:t>
      </w:r>
      <w:r w:rsidR="007804A2" w:rsidRPr="00D86888">
        <w:t>copper)</w:t>
      </w:r>
      <w:r w:rsidR="00C66C83" w:rsidRPr="00D86888">
        <w:t xml:space="preserve"> </w:t>
      </w:r>
      <w:r w:rsidR="007804A2" w:rsidRPr="00D86888">
        <w:fldChar w:fldCharType="begin" w:fldLock="1"/>
      </w:r>
      <w:r w:rsidR="0045705E">
        <w:instrText>ADDIN CSL_CITATION {"citationItems":[{"id":"ITEM-1","itemData":{"DOI":"10.3390/ma9040225","author":[{"dropping-particle":"","family":"Kozon","given":"Dominika","non-dropping-particle":"","parse-names":false,"suffix":""},{"dropping-particle":"","family":"Zheng","given":"Kai","non-dropping-particle":"","parse-names":false,"suffix":""},{"dropping-particle":"","family":"Boccardi","given":"Elena","non-dropping-particle":"","parse-names":false,"suffix":""},{"dropping-particle":"","family":"Liu","given":"Yufang","non-dropping-particle":"","parse-names":false,"suffix":""},{"dropping-particle":"","family":"Liverani","given":"Liliana","non-dropping-particle":"","parse-names":false,"suffix":""},{"dropping-particle":"","family":"Boccaccini","given":"Aldo R","non-dropping-particle":"","parse-names":false,"suffix":""}],"container-title":"Materials","id":"ITEM-1","issue":"225","issued":{"date-parts":[["2016"]]},"page":"1-8","title":"Synthesis of monodispersed Ag-doped bioactive glass nanoparticles via surface modification","type":"article-journal","volume":"9"},"uris":["http://www.mendeley.com/documents/?uuid=590d3c2f-b1bf-4f24-88bd-63493558e53b","http://www.mendeley.com/documents/?uuid=5b0eafa7-a8b9-4ce7-966e-bc8945003cf8"]},{"id":"ITEM-2","itemData":{"DOI":"10.1371/journal.pone.0113319","ISSN":"19326203","PMID":"25470000","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ONE","id":"ITEM-2","issue":"12","issued":{"date-parts":[["2014"]]},"page":"1-24","title":"Bioactive copper-doped glass scaffolds can stimulate endothelial cells in co-culture in combination with mesenchymal stem cells","type":"article-journal","volume":"9"},"uris":["http://www.mendeley.com/documents/?uuid=6ae8ea60-fdce-473d-8b01-bfb43a29cc7c"]},{"id":"ITEM-3","itemData":{"DOI":"10.1016/j.actbio.2011.03.016","ISBN":"1552-4981","ISSN":"15493296","PMID":"24027222","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Biomaterialia","id":"ITEM-3","issue":"6","issued":{"date-parts":[["2011"]]},"page":"2355-2373","title":"Bioactive glass in tissue engineering","type":"article-journal","volume":"7"},"uris":["http://www.mendeley.com/documents/?uuid=1bcca86c-ba13-4b53-ad93-a3a1b063e463"]}],"mendeley":{"formattedCitation":"[16,17,29]","plainTextFormattedCitation":"[16,17,29]","previouslyFormattedCitation":"[16,17,29]"},"properties":{"noteIndex":0},"schema":"https://github.com/citation-style-language/schema/raw/master/csl-citation.json"}</w:instrText>
      </w:r>
      <w:r w:rsidR="007804A2" w:rsidRPr="00D86888">
        <w:fldChar w:fldCharType="separate"/>
      </w:r>
      <w:r w:rsidR="00907868" w:rsidRPr="00907868">
        <w:rPr>
          <w:noProof/>
        </w:rPr>
        <w:t>[16,17,29]</w:t>
      </w:r>
      <w:r w:rsidR="007804A2" w:rsidRPr="00D86888">
        <w:fldChar w:fldCharType="end"/>
      </w:r>
      <w:r w:rsidR="00C66C83" w:rsidRPr="00D86888">
        <w:t>.</w:t>
      </w:r>
      <w:r w:rsidR="007804A2" w:rsidRPr="00D86888">
        <w:t xml:space="preserve"> Thus, the </w:t>
      </w:r>
      <w:r w:rsidR="007804A2" w:rsidRPr="00D86888">
        <w:lastRenderedPageBreak/>
        <w:t>combination of copper and bioactive glass might act as a multifunctional material that is antibacterial,</w:t>
      </w:r>
      <w:r w:rsidR="00C66C83" w:rsidRPr="00D86888">
        <w:t xml:space="preserve"> osteoinductive, and angiogenic </w:t>
      </w:r>
      <w:r w:rsidR="007804A2" w:rsidRPr="00D86888">
        <w:fldChar w:fldCharType="begin" w:fldLock="1"/>
      </w:r>
      <w:r w:rsidR="0045705E">
        <w:instrText>ADDIN CSL_CITATION {"citationItems":[{"id":"ITEM-1","itemData":{"DOI":"10.1371/journal.pone.0113319","ISSN":"19326203","PMID":"25470000","abstract":"Bioactive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ONE","id":"ITEM-1","issue":"12","issued":{"date-parts":[["2014"]]},"page":"1-24","title":"Bioactive copper-doped glass scaffolds can stimulate endothelial cells in co-culture in combination with mesenchymal stem cells","type":"article-journal","volume":"9"},"uris":["http://www.mendeley.com/documents/?uuid=6ae8ea60-fdce-473d-8b01-bfb43a29cc7c"]},{"id":"ITEM-2","itemData":{"DOI":"10.1016/j.actbio.2011.03.016","ISBN":"1552-4981","ISSN":"15493296","PMID":"24027222","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Biomaterialia","id":"ITEM-2","issue":"6","issued":{"date-parts":[["2011"]]},"page":"2355-2373","title":"Bioactive glass in tissue engineering","type":"article-journal","volume":"7"},"uris":["http://www.mendeley.com/documents/?uuid=1bcca86c-ba13-4b53-ad93-a3a1b063e463"]}],"mendeley":{"formattedCitation":"[16,17]","plainTextFormattedCitation":"[16,17]","previouslyFormattedCitation":"[16,17]"},"properties":{"noteIndex":0},"schema":"https://github.com/citation-style-language/schema/raw/master/csl-citation.json"}</w:instrText>
      </w:r>
      <w:r w:rsidR="007804A2" w:rsidRPr="00D86888">
        <w:fldChar w:fldCharType="separate"/>
      </w:r>
      <w:r w:rsidR="003C5B0C" w:rsidRPr="00D86888">
        <w:rPr>
          <w:noProof/>
        </w:rPr>
        <w:t>[16,17]</w:t>
      </w:r>
      <w:r w:rsidR="007804A2" w:rsidRPr="00D86888">
        <w:fldChar w:fldCharType="end"/>
      </w:r>
      <w:r w:rsidR="00C66C83" w:rsidRPr="00D86888">
        <w:t>.</w:t>
      </w:r>
      <w:r w:rsidR="007804A2" w:rsidRPr="00D86888">
        <w:t xml:space="preserve">  </w:t>
      </w:r>
    </w:p>
    <w:p w14:paraId="22A5A3BC" w14:textId="4657D831" w:rsidR="007804A2" w:rsidRPr="00D86888" w:rsidRDefault="00D905D1" w:rsidP="00432F4E">
      <w:r w:rsidRPr="00D905D1">
        <w:t>We thus hypothesised that combining copper-doped bioactive glass with a porous 3D collagen scaffolds (CuBG-CS) wit</w:t>
      </w:r>
      <w:r>
        <w:t xml:space="preserve">h proven regenerative capacity </w:t>
      </w:r>
      <w:r w:rsidRPr="00D86888">
        <w:fldChar w:fldCharType="begin" w:fldLock="1"/>
      </w:r>
      <w:r w:rsidR="0045705E">
        <w:instrText>ADDIN CSL_CITATION {"citationItems":[{"id":"ITEM-1","itemData":{"DOI":"10.1002/term","ISBN":"1932-6254","ISSN":"1932-7005","PMID":"20872739","author":[{"dropping-particle":"","family":"Daivid","given":"Florent","non-dropping-particle":"","parse-names":false,"suffix":""},{"dropping-particle":"","family":"Levingstone","given":"Tanya J.","non-dropping-particle":"","parse-names":false,"suffix":""},{"dropping-particle":"","family":"Schneeweiss","given":"Wilfried","non-dropping-particle":"","parse-names":false,"suffix":""},{"dropping-particle":"","family":"Swarte","given":"Marie","non-dropping-particle":"de","parse-names":false,"suffix":""},{"dropping-particle":"","family":"Jahns","given":"Hanne","non-dropping-particle":"","parse-names":false,"suffix":""},{"dropping-particle":"","family":"Gleeson","given":"John P.","non-dropping-particle":"","parse-names":false,"suffix":""},{"dropping-particle":"","family":"O'Brien","given":"Fergal J.","non-dropping-particle":"","parse-names":false,"suffix":""}],"container-title":"Journal of tissue engineering and regenerative medicine","id":"ITEM-1","issue":"7","issued":{"date-parts":[["2015"]]},"page":"1193-1199","title":"Enhanced bone healing using collagen-hydroxyapatite scaffold implantation in the treatment of a large multiloculated mandibular aneurysmal bone cyst in a thoroughbred filly","type":"article-journal"},"uris":["http://www.mendeley.com/documents/?uuid=ef6d9731-a3e1-412c-a262-4de16b26a21d","http://www.mendeley.com/documents/?uuid=4eebf279-9419-4849-8f4b-784d672fb921"]},{"id":"ITEM-2","itemData":{"DOI":"10.1016/j.biomaterials.2015.09.003","author":[{"dropping-particle":"","family":"Ryan","given":"Alan James","non-dropping-particle":"","parse-names":false,"suffix":""},{"dropping-particle":"","family":"O'Brien","given":"Fergal J","non-dropping-particle":"","parse-names":false,"suffix":""}],"container-title":"Biomaterials","id":"ITEM-2","issue":"July 2016","issued":{"date-parts":[["2015"]]},"page":"296-307","title":"Insoluble elastin reduces collagen scaffold stiffness, improves viscoelastic properties, and induces a contractile phenotype in smooth muscle cells","type":"article-journal","volume":"73"},"uris":["http://www.mendeley.com/documents/?uuid=db7ed85a-965c-4d41-b530-45057c23857b"]},{"id":"ITEM-3","itemData":{"DOI":"10.1021/acsbiomaterials.6b00561","ISSN":"2373-9878","author":[{"dropping-particle":"","family":"O’Leary","given":"Cian","non-dropping-particle":"","parse-names":false,"suffix":""},{"dropping-particle":"","family":"O’Brien","given":"Fergal J.","non-dropping-particle":"","parse-names":false,"suffix":""},{"dropping-particle":"","family":"Cryan","given":"Sally-Ann","non-dropping-particle":"","parse-names":false,"suffix":""}],"container-title":"ACS Biomaterials Science &amp; Engineering","id":"ITEM-3","issued":{"date-parts":[["2017"]]},"page":"1381-1393","title":"Retinoic acid-loaded collagen-hyaluronate scaffolds: a bioactive material for respiratory tissue regeneration","type":"article-journal","volume":"3"},"uris":["http://www.mendeley.com/documents/?uuid=7b81f933-b4de-4abf-b263-3a96a9b92c3d"]},{"id":"ITEM-4","itemData":{"DOI":"10.1016/j.biomaterials.2015.02.006","ISBN":"1878-5905 (Electronic)\\r0142-9612 (Linking)","ISSN":"18785905","PMID":"25818442","abstract":"One of the biggest challenges in regenerative medicine is promoting sufficient vascularisation of tissue-engineered constructs. One approach to overcome this challenge is to target the cellular hypoxia inducible factor (HIF-1??) pathway, which responds to low oxygen concentration (hypoxia) and results in the activation of numerous pro-angiogenic genes including vascular endothelial growth factor (VEGF). Cobalt ions are known to mimic hypoxia by artificially stabilising the HIF-1?? transcription factor. Here, resorbable bioactive glass particles (38??m and 100??m) with cobalt ions incorporated into the glass network were used to create bioactive glass/collagen-glycosaminoglycan scaffolds optimised for bone tissue engineering. Inclusion of the bioactive glass improved the compressive modulus of the resulting composite scaffolds while maintaining high degrees of porosity (&gt;97%). Moreover, invitro analysis demonstrated that the incorporation of cobalt bioactive glass with a mean particle size of 100??m significantly enhanced the production and expression of VEGF in endothelial cells, and cobalt bioactive glass/collagen-glycosaminoglycan scaffold conditioned media also promoted enhanced tubule formation. Furthermore, our results prove the ability of these scaffolds to support osteoblast cell proliferation and osteogenesis in all bioactive glass/collagen-glycosaminoglycan scaffolds irrespective of the particle size. In summary, we have developed a hypoxia-mimicking tissue-engineered scaffold with pro-angiogenic and pro-osteogenic capabilities that may encourage bone tissue regeneration and overcome the problem of inadequate vascularisation of grafts commonly seen in the field of tissue engineering.","author":[{"dropping-particle":"","family":"Quinlan","given":"Elaine","non-dropping-particle":"","parse-names":false,"suffix":""},{"dropping-particle":"","family":"Partap","given":"Sonia","non-dropping-particle":"","parse-names":false,"suffix":""},{"dropping-particle":"","family":"Azevedo","given":"Maria M.","non-dropping-particle":"","parse-names":false,"suffix":""},{"dropping-particle":"","family":"Jell","given":"Gavin","non-dropping-particle":"","parse-names":false,"suffix":""},{"dropping-particle":"","family":"Stevens","given":"Molly M.","non-dropping-particle":"","parse-names":false,"suffix":""},{"dropping-particle":"","family":"O'Brien","given":"Fergal J.","non-dropping-particle":"","parse-names":false,"suffix":""}],"container-title":"Biomaterials","id":"ITEM-4","issue":"1","issued":{"date-parts":[["2015"]]},"page":"358-366","title":"Hypoxia-mimicking bioactive glass/collagen glycosaminoglycan composite scaffolds to enhance angiogenesis and bone repair","type":"article-journal","volume":"52"},"uris":["http://www.mendeley.com/documents/?uuid=955b8b72-6a8c-4769-8c24-a97aaf28d3a1"]},{"id":"ITEM-5","itemData":{"DOI":"10.1016/j.actbio.2016.07.009","ISBN":"1878-7568 (Electronic)\\r1742-7061 (Linking)","ISSN":"18787568","PMID":"27402181","abstract":"Natural biomaterials such as collagen show promise in tissue engineering applications due to their inherent bioactivity. The main limitation of collagen is its low mechanical strength and somewhat unpredictable and rapid degradation rate; however, combining collagen with another material, such as chitosan, can reinforce the scaffold mechanically and may improve the rate of degradation. Additionally, the high cost and the risk of prion transmission associated with mammal-derived collagen has prompted research into alternative sources such as marine-origin collagen. In this context, the overall goal of this study was to determine if the incorporation of chitosan into collagen scaffolds could improve the mechanical and biological properties of the scaffold. In addition the study assessed if collagen, derived from salmon skin (marine), can provide an alternative to collagen derived from bovine tendon (mammal) for tissue engineering applications. Scaffold architecture and mechanical properties were assessed as well as their ability to support mesenchymal stem cell growth and differentiation. Overall, the addition of chitosan to bovine and salmon skin-derived collagen scaffolds improved the mechanical properties, increasing the compressive strength, swelling ratio and prolonged the degradation rate. Mesenchymal stem cell (MSC) attachment and proliferation was most improved on the bovine-derived collagen scaffold containing a 75:25 ratio of collagen:chitosan, and when MSC osteogenic and chondrogenic potential on the scaffold was assessed, a significant increase in calcium production (p &lt; 0.001) and sulfated glycosaminoglycan (sGAG) production (p &lt; 0.001) was observed respectively. Regardless of chitosan content, the bovine-derived collagen scaffolds out-performed the salmon skin-derived collagen scaffolds, displaying a larger pore size and higher percentage porosity, more regular architecture, higher compressive modulus, a greater capacity for water uptake and allowed for more MSC proliferation and differentiation. This versatile scaffold incorporating the marine biomaterial chitosan show great potential as appropriate platforms for promoting orthopaedic tissue repair while the use of salmon skin-derived collagen may be more suitable in the repair of soft tissues such as skin. Statement of Significance Collagen is commonly used in tissue engineering due to its biocompatibility; however, it has low mechanical strength and an unpredictable degradation rate. In a…","author":[{"dropping-particle":"","family":"Raftery","given":"Rosanne M.","non-dropping-particle":"","parse-names":false,"suffix":""},{"dropping-particle":"","family":"Woods","given":"Brian","non-dropping-particle":"","parse-names":false,"suffix":""},{"dropping-particle":"","family":"Marques","given":"Ana L.P.","non-dropping-particle":"","parse-names":false,"suffix":""},{"dropping-particle":"","family":"Moreira-Silva","given":"Joana","non-dropping-particle":"","parse-names":false,"suffix":""},{"dropping-particle":"","family":"Silva","given":"Tiago H.","non-dropping-particle":"","parse-names":false,"suffix":""},{"dropping-particle":"","family":"Cryan","given":"Sally Ann","non-dropping-particle":"","parse-names":false,"suffix":""},{"dropping-particle":"","family":"Reis","given":"Rui L.","non-dropping-particle":"","parse-names":false,"suffix":""},{"dropping-particle":"","family":"O'Brien","given":"Fergal J.","non-dropping-particle":"","parse-names":false,"suffix":""}],"container-title":"Acta Biomaterialia","id":"ITEM-5","issued":{"date-parts":[["2016"]]},"page":"160-169","title":"Multifunctional biomaterials from the sea: Assessing the effects of chitosan incorporation into collagen scaffolds on mechanical and biological functionality","type":"article-journal","volume":"43"},"uris":["http://www.mendeley.com/documents/?uuid=db0cd400-4129-434c-aeaf-23d0f67deda3"]}],"mendeley":{"formattedCitation":"[19,27,30–32]","plainTextFormattedCitation":"[19,27,30–32]","previouslyFormattedCitation":"[19,27,30–32]"},"properties":{"noteIndex":0},"schema":"https://github.com/citation-style-language/schema/raw/master/csl-citation.json"}</w:instrText>
      </w:r>
      <w:r w:rsidRPr="00D86888">
        <w:fldChar w:fldCharType="separate"/>
      </w:r>
      <w:r w:rsidR="00907868" w:rsidRPr="00907868">
        <w:rPr>
          <w:noProof/>
        </w:rPr>
        <w:t>[19,27,30–32]</w:t>
      </w:r>
      <w:r w:rsidRPr="00D86888">
        <w:fldChar w:fldCharType="end"/>
      </w:r>
      <w:r>
        <w:t xml:space="preserve"> </w:t>
      </w:r>
      <w:r w:rsidRPr="00D905D1">
        <w:t xml:space="preserve">would result in an off-the-shelf scaffold for osteomyelitis treatment </w:t>
      </w:r>
      <w:r w:rsidR="00F10BE6">
        <w:t>that</w:t>
      </w:r>
      <w:r w:rsidR="00F10BE6" w:rsidRPr="00D905D1">
        <w:t xml:space="preserve"> </w:t>
      </w:r>
      <w:r w:rsidRPr="00D905D1">
        <w:t>elicits osteo- and angiogenesis, whilst, most importantly, limiting infection.</w:t>
      </w:r>
      <w:r w:rsidR="007804A2" w:rsidRPr="00D86888">
        <w:t xml:space="preserve"> We first explored the dose-response of copper ions alone on bacterial toxicity and mammalian cell viability in 2D culture to determine appropriate concentrations for incorporation into the scaffolds. Next, we developed a method for incorporating </w:t>
      </w:r>
      <w:r w:rsidR="00352E94" w:rsidRPr="00D86888">
        <w:t>var</w:t>
      </w:r>
      <w:r w:rsidR="00352E94">
        <w:t>ying</w:t>
      </w:r>
      <w:r w:rsidR="00352E94" w:rsidRPr="00D86888">
        <w:t xml:space="preserve"> </w:t>
      </w:r>
      <w:r w:rsidR="007804A2" w:rsidRPr="00D86888">
        <w:t xml:space="preserve">concentrations of CuBG into the collagen scaffold and investigated the effect of CuBG addition on scaffold mechanical and microarchitectural properties. The copper ion release and antibacterial activity of the CuBG-CS was then explored </w:t>
      </w:r>
      <w:r w:rsidR="00352E94">
        <w:t xml:space="preserve">before assessment of </w:t>
      </w:r>
      <w:r w:rsidR="007804A2" w:rsidRPr="00D86888">
        <w:t>the ability of the scaffolds to support osteogenesis and angiogenesis in vitro.</w:t>
      </w:r>
      <w:r w:rsidR="009143E1" w:rsidRPr="00D86888">
        <w:t xml:space="preserve"> Finally, we assessed the osteogenic and angiogenic response of the bioactive glass scaffolds in a chick embryo </w:t>
      </w:r>
      <w:r w:rsidR="00783763">
        <w:t>ex ovo</w:t>
      </w:r>
      <w:r w:rsidR="009143E1" w:rsidRPr="00D86888">
        <w:t xml:space="preserve"> model.</w:t>
      </w:r>
    </w:p>
    <w:p w14:paraId="47873232" w14:textId="77777777" w:rsidR="00786A89" w:rsidRPr="00D86888" w:rsidRDefault="00786A89" w:rsidP="00786A89">
      <w:pPr>
        <w:rPr>
          <w:highlight w:val="cyan"/>
        </w:rPr>
      </w:pPr>
      <w:r w:rsidRPr="00D86888">
        <w:rPr>
          <w:highlight w:val="cyan"/>
        </w:rPr>
        <w:br w:type="page"/>
      </w:r>
    </w:p>
    <w:p w14:paraId="289D8C45" w14:textId="77777777" w:rsidR="00C5796F" w:rsidRPr="00D86888" w:rsidRDefault="00870E3A" w:rsidP="00432F4E">
      <w:pPr>
        <w:pStyle w:val="Heading2"/>
      </w:pPr>
      <w:bookmarkStart w:id="11" w:name="_Toc510971217"/>
      <w:r w:rsidRPr="00D86888">
        <w:lastRenderedPageBreak/>
        <w:t>Materials and methods</w:t>
      </w:r>
      <w:bookmarkEnd w:id="11"/>
    </w:p>
    <w:p w14:paraId="3F1B0051" w14:textId="77777777" w:rsidR="007804A2" w:rsidRPr="00D86888" w:rsidRDefault="007804A2" w:rsidP="007804A2">
      <w:r w:rsidRPr="00D86888">
        <w:t>All materials used were purchased from Sigma Aldrich Ireland, unless otherwise stated.</w:t>
      </w:r>
    </w:p>
    <w:p w14:paraId="09E807AF" w14:textId="77777777" w:rsidR="003C5B0C" w:rsidRPr="00D86888" w:rsidRDefault="007804A2" w:rsidP="003C5B0C">
      <w:pPr>
        <w:pStyle w:val="Heading3"/>
        <w:numPr>
          <w:ilvl w:val="1"/>
          <w:numId w:val="23"/>
        </w:numPr>
      </w:pPr>
      <w:bookmarkStart w:id="12" w:name="_Toc510971218"/>
      <w:r w:rsidRPr="00D86888">
        <w:t>Effect of copper ions on bacterial toxicity and mammalian cell viability in 2D culture</w:t>
      </w:r>
      <w:bookmarkEnd w:id="12"/>
    </w:p>
    <w:p w14:paraId="257B7967" w14:textId="77777777" w:rsidR="007804A2" w:rsidRPr="00D86888" w:rsidRDefault="007804A2" w:rsidP="007804A2">
      <w:r w:rsidRPr="00D86888">
        <w:t>To identify an appropriate concentration range of copper-doped bioactive glass to incorporate into the collagen scaffold, the effect of copper ions on bacterial and mammalian cells in 2D culture was first assessed. A range of copper chloride concentrations (equivalent to 0 – 1.02 mg Cu</w:t>
      </w:r>
      <w:r w:rsidRPr="00A06B18">
        <w:rPr>
          <w:vertAlign w:val="superscript"/>
        </w:rPr>
        <w:t>2+</w:t>
      </w:r>
      <w:r w:rsidRPr="00D86888">
        <w:t xml:space="preserve">/ml) was added to 100 μl of Brain Heart Infusion (BHI) broth in a 96-well plate (n=3 per group). </w:t>
      </w:r>
      <w:r w:rsidRPr="00D86888">
        <w:rPr>
          <w:i/>
        </w:rPr>
        <w:t>Staphylococcus aureus</w:t>
      </w:r>
      <w:r w:rsidRPr="00D86888">
        <w:t xml:space="preserve"> (</w:t>
      </w:r>
      <w:r w:rsidRPr="00D86888">
        <w:rPr>
          <w:i/>
        </w:rPr>
        <w:t>S. aureus</w:t>
      </w:r>
      <w:r w:rsidRPr="00D86888">
        <w:t>) Newman was added to the wells at 5x105 Colony Forming Units (CFU)/ml and the plate was incubated at 37°C for 24 hours. The optical density or opacity of the solutions was measured using a spectrophotometer. The minimum inhibitory concentration (MIC) of copper chloride was considered to be the lowest concentration at which no visible bacterial growth occurred according to spectrophotometric readings. To find the minimum bactericidal concentration (MBC) of copper chloride, 10 μl of the solutions from the remaining visually clear wells were</w:t>
      </w:r>
      <w:r w:rsidR="008E25F7" w:rsidRPr="00D86888">
        <w:t xml:space="preserve"> </w:t>
      </w:r>
      <w:r w:rsidRPr="00D86888">
        <w:t>added to BHI agar plates, allowed to air dry for 15 minutes, and then incubated for 24 hours at 37°C. The lowest concentration on the solutions that did not show any growth was termed the MBC.</w:t>
      </w:r>
    </w:p>
    <w:p w14:paraId="0CED1A12" w14:textId="77777777" w:rsidR="007804A2" w:rsidRPr="00D86888" w:rsidRDefault="007804A2" w:rsidP="007804A2">
      <w:r w:rsidRPr="00D86888">
        <w:t>A pre-osteoblast cell line (MC3T3-E1, ECACC, UK) were seeded in 96-well plates at 10,000 cells/well in 100 μl of medium containing the same range of copper chloride concentrations (equivalent to 0 – 1.02 mg Cu</w:t>
      </w:r>
      <w:r w:rsidRPr="00A06B18">
        <w:rPr>
          <w:vertAlign w:val="superscript"/>
        </w:rPr>
        <w:t>2+</w:t>
      </w:r>
      <w:r w:rsidRPr="00D86888">
        <w:t>/ml) (n=3</w:t>
      </w:r>
      <w:r w:rsidR="008E25F7" w:rsidRPr="00D86888">
        <w:t xml:space="preserve"> </w:t>
      </w:r>
      <w:r w:rsidRPr="00D86888">
        <w:t xml:space="preserve">per group) and the cells were incubated under standard culture conditions (37°C, 5% C02, and 95% relative humidity) for 24 hours. The cells were washed 2X with phosphate buffered saline (PBS) and lysed (100 μl of 0.2 M </w:t>
      </w:r>
      <w:r w:rsidR="0053264C" w:rsidRPr="00D86888">
        <w:t xml:space="preserve">sodium carbonate </w:t>
      </w:r>
      <w:r w:rsidRPr="00D86888">
        <w:t>with 1% Triton). The resulting lysate was analysed for DNA content as an indicator of cell number using a Quant-iT™ PicoGreen™ dsDNA Assay Kit (Molecular Probes, USA) as per the manufacturer’s instructions.</w:t>
      </w:r>
    </w:p>
    <w:p w14:paraId="7F0DDA1C" w14:textId="77777777" w:rsidR="008E25F7" w:rsidRPr="00D86888" w:rsidRDefault="008E25F7" w:rsidP="008E25F7">
      <w:pPr>
        <w:rPr>
          <w:b/>
        </w:rPr>
      </w:pPr>
      <w:bookmarkStart w:id="13" w:name="_Toc510971219"/>
    </w:p>
    <w:p w14:paraId="51755F81" w14:textId="77777777" w:rsidR="008E25F7" w:rsidRPr="00D86888" w:rsidRDefault="008E25F7" w:rsidP="008E25F7">
      <w:pPr>
        <w:rPr>
          <w:b/>
        </w:rPr>
      </w:pPr>
    </w:p>
    <w:p w14:paraId="1EDDB11B" w14:textId="77D31114" w:rsidR="008E25F7" w:rsidRDefault="008E25F7" w:rsidP="008E25F7">
      <w:pPr>
        <w:rPr>
          <w:b/>
        </w:rPr>
      </w:pPr>
    </w:p>
    <w:p w14:paraId="774319CF" w14:textId="77777777" w:rsidR="00020934" w:rsidRPr="00D86888" w:rsidRDefault="00020934" w:rsidP="008E25F7">
      <w:pPr>
        <w:rPr>
          <w:b/>
        </w:rPr>
      </w:pPr>
    </w:p>
    <w:p w14:paraId="39E01919" w14:textId="77777777" w:rsidR="00907325" w:rsidRPr="00D86888" w:rsidRDefault="00907325" w:rsidP="003C5B0C">
      <w:pPr>
        <w:pStyle w:val="Heading3"/>
        <w:numPr>
          <w:ilvl w:val="1"/>
          <w:numId w:val="23"/>
        </w:numPr>
      </w:pPr>
      <w:r w:rsidRPr="00D86888">
        <w:lastRenderedPageBreak/>
        <w:t>Bioactive glass synthesis and characterisation</w:t>
      </w:r>
      <w:bookmarkEnd w:id="13"/>
    </w:p>
    <w:p w14:paraId="652FA813" w14:textId="1274F3FB" w:rsidR="00907325" w:rsidRPr="00D86888" w:rsidRDefault="00907325" w:rsidP="00BE1BE0">
      <w:pPr>
        <w:spacing w:after="0"/>
      </w:pPr>
      <w:r w:rsidRPr="00D86888">
        <w:t>Bioactive glass with and without a maximum achievable concentration of 2% (mol) copper (equivalent to 0.02 mg Cu</w:t>
      </w:r>
      <w:r w:rsidRPr="00A06B18">
        <w:rPr>
          <w:vertAlign w:val="superscript"/>
        </w:rPr>
        <w:t>2+</w:t>
      </w:r>
      <w:r w:rsidRPr="00D86888">
        <w:t>/mg BG) was prepared by a sol-gel process. The composition of the bioactive glasses is as follows:</w:t>
      </w:r>
    </w:p>
    <w:p w14:paraId="704FD27E" w14:textId="60DF92C5" w:rsidR="00907325" w:rsidRPr="00D86888" w:rsidRDefault="002D7CD2" w:rsidP="002B3780">
      <w:pPr>
        <w:pStyle w:val="Caption"/>
        <w:spacing w:after="240"/>
        <w:jc w:val="center"/>
      </w:pPr>
      <w:r w:rsidRPr="00D86888">
        <w:rPr>
          <w:b/>
        </w:rPr>
        <w:t xml:space="preserve">Table </w:t>
      </w:r>
      <w:r w:rsidRPr="00D86888">
        <w:rPr>
          <w:b/>
        </w:rPr>
        <w:fldChar w:fldCharType="begin"/>
      </w:r>
      <w:r w:rsidRPr="00D86888">
        <w:rPr>
          <w:b/>
        </w:rPr>
        <w:instrText xml:space="preserve"> SEQ Table \* ARABIC </w:instrText>
      </w:r>
      <w:r w:rsidRPr="00D86888">
        <w:rPr>
          <w:b/>
        </w:rPr>
        <w:fldChar w:fldCharType="separate"/>
      </w:r>
      <w:r w:rsidR="004D5029">
        <w:rPr>
          <w:b/>
          <w:noProof/>
        </w:rPr>
        <w:t>1</w:t>
      </w:r>
      <w:r w:rsidRPr="00D86888">
        <w:rPr>
          <w:b/>
        </w:rPr>
        <w:fldChar w:fldCharType="end"/>
      </w:r>
      <w:r w:rsidRPr="00D86888">
        <w:t xml:space="preserve"> Composition (Mol%) of sol-gel derived 0% and 2% copper-doped bioactive glass</w:t>
      </w:r>
    </w:p>
    <w:tbl>
      <w:tblPr>
        <w:tblStyle w:val="TableGrid"/>
        <w:tblW w:w="755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28"/>
        <w:gridCol w:w="1928"/>
      </w:tblGrid>
      <w:tr w:rsidR="00907325" w:rsidRPr="00D86888" w14:paraId="0FBF4FD5" w14:textId="77777777" w:rsidTr="00BE1BE0">
        <w:trPr>
          <w:trHeight w:val="349"/>
          <w:jc w:val="center"/>
        </w:trPr>
        <w:tc>
          <w:tcPr>
            <w:tcW w:w="3701" w:type="dxa"/>
            <w:tcBorders>
              <w:top w:val="single" w:sz="4" w:space="0" w:color="auto"/>
              <w:left w:val="single" w:sz="4" w:space="0" w:color="auto"/>
              <w:bottom w:val="single" w:sz="4" w:space="0" w:color="auto"/>
            </w:tcBorders>
            <w:shd w:val="clear" w:color="auto" w:fill="808080" w:themeFill="background1" w:themeFillShade="80"/>
            <w:vAlign w:val="center"/>
          </w:tcPr>
          <w:p w14:paraId="414B13B3" w14:textId="77777777" w:rsidR="00907325" w:rsidRPr="0083589A" w:rsidRDefault="00907325" w:rsidP="00BE1BE0">
            <w:pPr>
              <w:jc w:val="center"/>
              <w:rPr>
                <w:b/>
                <w:szCs w:val="24"/>
              </w:rPr>
            </w:pPr>
          </w:p>
        </w:tc>
        <w:tc>
          <w:tcPr>
            <w:tcW w:w="1928" w:type="dxa"/>
            <w:tcBorders>
              <w:bottom w:val="single" w:sz="4" w:space="0" w:color="auto"/>
            </w:tcBorders>
            <w:shd w:val="clear" w:color="auto" w:fill="808080" w:themeFill="background1" w:themeFillShade="80"/>
            <w:vAlign w:val="center"/>
          </w:tcPr>
          <w:p w14:paraId="783F9177" w14:textId="77777777" w:rsidR="00907325" w:rsidRPr="0083589A" w:rsidRDefault="00907325" w:rsidP="00BE1BE0">
            <w:pPr>
              <w:spacing w:after="0"/>
              <w:jc w:val="center"/>
              <w:rPr>
                <w:b/>
                <w:color w:val="FFFFFF" w:themeColor="background1"/>
                <w:szCs w:val="24"/>
              </w:rPr>
            </w:pPr>
            <w:r w:rsidRPr="0083589A">
              <w:rPr>
                <w:b/>
                <w:color w:val="FFFFFF" w:themeColor="background1"/>
                <w:szCs w:val="24"/>
              </w:rPr>
              <w:t>BG (mol%)</w:t>
            </w:r>
          </w:p>
        </w:tc>
        <w:tc>
          <w:tcPr>
            <w:tcW w:w="1928" w:type="dxa"/>
            <w:tcBorders>
              <w:top w:val="single" w:sz="4" w:space="0" w:color="auto"/>
              <w:bottom w:val="single" w:sz="4" w:space="0" w:color="auto"/>
              <w:right w:val="single" w:sz="4" w:space="0" w:color="auto"/>
            </w:tcBorders>
            <w:shd w:val="clear" w:color="auto" w:fill="808080" w:themeFill="background1" w:themeFillShade="80"/>
            <w:vAlign w:val="center"/>
          </w:tcPr>
          <w:p w14:paraId="39BC8176" w14:textId="77777777" w:rsidR="00907325" w:rsidRPr="0083589A" w:rsidRDefault="00907325" w:rsidP="00BE1BE0">
            <w:pPr>
              <w:spacing w:after="0"/>
              <w:jc w:val="center"/>
              <w:rPr>
                <w:b/>
                <w:color w:val="FFFFFF" w:themeColor="background1"/>
                <w:szCs w:val="24"/>
              </w:rPr>
            </w:pPr>
            <w:r w:rsidRPr="0083589A">
              <w:rPr>
                <w:b/>
                <w:color w:val="FFFFFF" w:themeColor="background1"/>
                <w:szCs w:val="24"/>
              </w:rPr>
              <w:t>CuBG (mol%)</w:t>
            </w:r>
          </w:p>
        </w:tc>
      </w:tr>
      <w:tr w:rsidR="00907325" w:rsidRPr="00D86888" w14:paraId="772C82B8" w14:textId="77777777" w:rsidTr="00BE1BE0">
        <w:trPr>
          <w:jc w:val="center"/>
        </w:trPr>
        <w:tc>
          <w:tcPr>
            <w:tcW w:w="3701" w:type="dxa"/>
            <w:tcBorders>
              <w:top w:val="single" w:sz="4" w:space="0" w:color="auto"/>
              <w:left w:val="single" w:sz="4" w:space="0" w:color="auto"/>
              <w:bottom w:val="single" w:sz="4" w:space="0" w:color="auto"/>
            </w:tcBorders>
            <w:vAlign w:val="center"/>
          </w:tcPr>
          <w:p w14:paraId="39664831" w14:textId="77777777" w:rsidR="00907325" w:rsidRPr="0083589A" w:rsidRDefault="00907325" w:rsidP="00BE1BE0">
            <w:pPr>
              <w:spacing w:after="0"/>
              <w:jc w:val="center"/>
              <w:rPr>
                <w:b/>
                <w:szCs w:val="24"/>
              </w:rPr>
            </w:pPr>
            <w:r w:rsidRPr="0083589A">
              <w:rPr>
                <w:b/>
                <w:bCs/>
                <w:color w:val="595959"/>
                <w:szCs w:val="24"/>
              </w:rPr>
              <w:t>Silicon dioxide (SiO</w:t>
            </w:r>
            <w:r w:rsidRPr="0083589A">
              <w:rPr>
                <w:b/>
                <w:bCs/>
                <w:color w:val="595959"/>
                <w:szCs w:val="24"/>
                <w:vertAlign w:val="subscript"/>
              </w:rPr>
              <w:t>2</w:t>
            </w:r>
            <w:r w:rsidRPr="0083589A">
              <w:rPr>
                <w:b/>
                <w:bCs/>
                <w:color w:val="595959"/>
                <w:szCs w:val="24"/>
              </w:rPr>
              <w:t>)</w:t>
            </w:r>
          </w:p>
        </w:tc>
        <w:tc>
          <w:tcPr>
            <w:tcW w:w="1928" w:type="dxa"/>
            <w:tcBorders>
              <w:top w:val="single" w:sz="4" w:space="0" w:color="auto"/>
              <w:bottom w:val="single" w:sz="4" w:space="0" w:color="auto"/>
            </w:tcBorders>
            <w:vAlign w:val="center"/>
          </w:tcPr>
          <w:p w14:paraId="23EC40EA" w14:textId="77777777" w:rsidR="00907325" w:rsidRPr="0083589A" w:rsidRDefault="00907325" w:rsidP="00BE1BE0">
            <w:pPr>
              <w:spacing w:after="0"/>
              <w:jc w:val="center"/>
              <w:rPr>
                <w:szCs w:val="24"/>
              </w:rPr>
            </w:pPr>
            <w:r w:rsidRPr="0083589A">
              <w:rPr>
                <w:szCs w:val="24"/>
              </w:rPr>
              <w:t>60</w:t>
            </w:r>
          </w:p>
        </w:tc>
        <w:tc>
          <w:tcPr>
            <w:tcW w:w="1928" w:type="dxa"/>
            <w:tcBorders>
              <w:top w:val="single" w:sz="4" w:space="0" w:color="auto"/>
              <w:bottom w:val="single" w:sz="4" w:space="0" w:color="auto"/>
              <w:right w:val="single" w:sz="4" w:space="0" w:color="auto"/>
            </w:tcBorders>
            <w:vAlign w:val="center"/>
          </w:tcPr>
          <w:p w14:paraId="398324EE" w14:textId="77777777" w:rsidR="00907325" w:rsidRPr="0083589A" w:rsidRDefault="00907325" w:rsidP="00BE1BE0">
            <w:pPr>
              <w:spacing w:after="0"/>
              <w:jc w:val="center"/>
              <w:rPr>
                <w:szCs w:val="24"/>
              </w:rPr>
            </w:pPr>
            <w:r w:rsidRPr="0083589A">
              <w:rPr>
                <w:szCs w:val="24"/>
              </w:rPr>
              <w:t>60</w:t>
            </w:r>
          </w:p>
        </w:tc>
      </w:tr>
      <w:tr w:rsidR="00907325" w:rsidRPr="00D86888" w14:paraId="2CBE358A" w14:textId="77777777" w:rsidTr="00BE1BE0">
        <w:trPr>
          <w:jc w:val="center"/>
        </w:trPr>
        <w:tc>
          <w:tcPr>
            <w:tcW w:w="3701" w:type="dxa"/>
            <w:tcBorders>
              <w:top w:val="single" w:sz="4" w:space="0" w:color="auto"/>
              <w:left w:val="single" w:sz="4" w:space="0" w:color="auto"/>
              <w:bottom w:val="single" w:sz="4" w:space="0" w:color="auto"/>
            </w:tcBorders>
            <w:vAlign w:val="center"/>
          </w:tcPr>
          <w:p w14:paraId="019FB8E5" w14:textId="77777777" w:rsidR="00907325" w:rsidRPr="0083589A" w:rsidRDefault="00907325" w:rsidP="00BE1BE0">
            <w:pPr>
              <w:spacing w:after="0"/>
              <w:jc w:val="center"/>
              <w:rPr>
                <w:b/>
                <w:szCs w:val="24"/>
              </w:rPr>
            </w:pPr>
            <w:r w:rsidRPr="0083589A">
              <w:rPr>
                <w:b/>
                <w:bCs/>
                <w:color w:val="595959"/>
                <w:szCs w:val="24"/>
              </w:rPr>
              <w:t>Calcium oxide (CaO)</w:t>
            </w:r>
          </w:p>
        </w:tc>
        <w:tc>
          <w:tcPr>
            <w:tcW w:w="1928" w:type="dxa"/>
            <w:tcBorders>
              <w:top w:val="single" w:sz="4" w:space="0" w:color="auto"/>
              <w:bottom w:val="single" w:sz="4" w:space="0" w:color="auto"/>
            </w:tcBorders>
            <w:vAlign w:val="center"/>
          </w:tcPr>
          <w:p w14:paraId="6784D9F8" w14:textId="77777777" w:rsidR="00907325" w:rsidRPr="0083589A" w:rsidRDefault="00907325" w:rsidP="00BE1BE0">
            <w:pPr>
              <w:spacing w:after="0"/>
              <w:jc w:val="center"/>
              <w:rPr>
                <w:szCs w:val="24"/>
              </w:rPr>
            </w:pPr>
            <w:r w:rsidRPr="0083589A">
              <w:rPr>
                <w:szCs w:val="24"/>
              </w:rPr>
              <w:t>36</w:t>
            </w:r>
          </w:p>
        </w:tc>
        <w:tc>
          <w:tcPr>
            <w:tcW w:w="1928" w:type="dxa"/>
            <w:tcBorders>
              <w:top w:val="single" w:sz="4" w:space="0" w:color="auto"/>
              <w:bottom w:val="single" w:sz="4" w:space="0" w:color="auto"/>
              <w:right w:val="single" w:sz="4" w:space="0" w:color="auto"/>
            </w:tcBorders>
            <w:vAlign w:val="center"/>
          </w:tcPr>
          <w:p w14:paraId="6EAAE273" w14:textId="77777777" w:rsidR="00907325" w:rsidRPr="0083589A" w:rsidRDefault="00907325" w:rsidP="00BE1BE0">
            <w:pPr>
              <w:spacing w:after="0"/>
              <w:jc w:val="center"/>
              <w:rPr>
                <w:szCs w:val="24"/>
              </w:rPr>
            </w:pPr>
            <w:r w:rsidRPr="0083589A">
              <w:rPr>
                <w:szCs w:val="24"/>
              </w:rPr>
              <w:t>34</w:t>
            </w:r>
          </w:p>
        </w:tc>
      </w:tr>
      <w:tr w:rsidR="00907325" w:rsidRPr="00D86888" w14:paraId="51BCD73F" w14:textId="77777777" w:rsidTr="00BE1BE0">
        <w:trPr>
          <w:jc w:val="center"/>
        </w:trPr>
        <w:tc>
          <w:tcPr>
            <w:tcW w:w="3701" w:type="dxa"/>
            <w:tcBorders>
              <w:top w:val="single" w:sz="4" w:space="0" w:color="auto"/>
              <w:left w:val="single" w:sz="4" w:space="0" w:color="auto"/>
              <w:bottom w:val="single" w:sz="4" w:space="0" w:color="auto"/>
            </w:tcBorders>
            <w:vAlign w:val="center"/>
          </w:tcPr>
          <w:p w14:paraId="1818A802" w14:textId="77777777" w:rsidR="00907325" w:rsidRPr="0083589A" w:rsidRDefault="00907325" w:rsidP="00BE1BE0">
            <w:pPr>
              <w:spacing w:after="0"/>
              <w:jc w:val="center"/>
              <w:rPr>
                <w:b/>
                <w:szCs w:val="24"/>
              </w:rPr>
            </w:pPr>
            <w:r w:rsidRPr="0083589A">
              <w:rPr>
                <w:b/>
                <w:bCs/>
                <w:color w:val="595959"/>
                <w:szCs w:val="24"/>
              </w:rPr>
              <w:t>Phosphorus pentoxide (P</w:t>
            </w:r>
            <w:r w:rsidRPr="0083589A">
              <w:rPr>
                <w:b/>
                <w:bCs/>
                <w:color w:val="595959"/>
                <w:szCs w:val="24"/>
                <w:vertAlign w:val="subscript"/>
              </w:rPr>
              <w:t>2</w:t>
            </w:r>
            <w:r w:rsidRPr="0083589A">
              <w:rPr>
                <w:b/>
                <w:bCs/>
                <w:color w:val="595959"/>
                <w:szCs w:val="24"/>
              </w:rPr>
              <w:t>O</w:t>
            </w:r>
            <w:r w:rsidRPr="0083589A">
              <w:rPr>
                <w:b/>
                <w:bCs/>
                <w:color w:val="595959"/>
                <w:szCs w:val="24"/>
                <w:vertAlign w:val="subscript"/>
              </w:rPr>
              <w:t>5</w:t>
            </w:r>
            <w:r w:rsidRPr="0083589A">
              <w:rPr>
                <w:b/>
                <w:bCs/>
                <w:color w:val="595959"/>
                <w:szCs w:val="24"/>
              </w:rPr>
              <w:t>)</w:t>
            </w:r>
          </w:p>
        </w:tc>
        <w:tc>
          <w:tcPr>
            <w:tcW w:w="1928" w:type="dxa"/>
            <w:tcBorders>
              <w:top w:val="single" w:sz="4" w:space="0" w:color="auto"/>
              <w:bottom w:val="single" w:sz="4" w:space="0" w:color="auto"/>
            </w:tcBorders>
            <w:vAlign w:val="center"/>
          </w:tcPr>
          <w:p w14:paraId="04F20309" w14:textId="77777777" w:rsidR="00907325" w:rsidRPr="0083589A" w:rsidRDefault="00907325" w:rsidP="00BE1BE0">
            <w:pPr>
              <w:spacing w:after="0"/>
              <w:jc w:val="center"/>
              <w:rPr>
                <w:szCs w:val="24"/>
              </w:rPr>
            </w:pPr>
            <w:r w:rsidRPr="0083589A">
              <w:rPr>
                <w:szCs w:val="24"/>
              </w:rPr>
              <w:t>4</w:t>
            </w:r>
          </w:p>
        </w:tc>
        <w:tc>
          <w:tcPr>
            <w:tcW w:w="1928" w:type="dxa"/>
            <w:tcBorders>
              <w:top w:val="single" w:sz="4" w:space="0" w:color="auto"/>
              <w:bottom w:val="single" w:sz="4" w:space="0" w:color="auto"/>
              <w:right w:val="single" w:sz="4" w:space="0" w:color="auto"/>
            </w:tcBorders>
            <w:vAlign w:val="center"/>
          </w:tcPr>
          <w:p w14:paraId="536B2D7C" w14:textId="77777777" w:rsidR="00907325" w:rsidRPr="0083589A" w:rsidRDefault="00907325" w:rsidP="00BE1BE0">
            <w:pPr>
              <w:spacing w:after="0"/>
              <w:jc w:val="center"/>
              <w:rPr>
                <w:szCs w:val="24"/>
              </w:rPr>
            </w:pPr>
            <w:r w:rsidRPr="0083589A">
              <w:rPr>
                <w:szCs w:val="24"/>
              </w:rPr>
              <w:t>4</w:t>
            </w:r>
          </w:p>
        </w:tc>
      </w:tr>
      <w:tr w:rsidR="00907325" w:rsidRPr="00D86888" w14:paraId="548C4AAA" w14:textId="77777777" w:rsidTr="00BE1BE0">
        <w:trPr>
          <w:jc w:val="center"/>
        </w:trPr>
        <w:tc>
          <w:tcPr>
            <w:tcW w:w="3701" w:type="dxa"/>
            <w:tcBorders>
              <w:top w:val="single" w:sz="4" w:space="0" w:color="auto"/>
              <w:left w:val="single" w:sz="4" w:space="0" w:color="auto"/>
              <w:bottom w:val="single" w:sz="4" w:space="0" w:color="auto"/>
            </w:tcBorders>
            <w:vAlign w:val="center"/>
          </w:tcPr>
          <w:p w14:paraId="549A66A0" w14:textId="77777777" w:rsidR="00907325" w:rsidRPr="0083589A" w:rsidRDefault="00907325" w:rsidP="00BE1BE0">
            <w:pPr>
              <w:spacing w:after="0"/>
              <w:jc w:val="center"/>
              <w:rPr>
                <w:b/>
                <w:szCs w:val="24"/>
              </w:rPr>
            </w:pPr>
            <w:r w:rsidRPr="0083589A">
              <w:rPr>
                <w:b/>
                <w:bCs/>
                <w:color w:val="595959"/>
                <w:szCs w:val="24"/>
              </w:rPr>
              <w:t>Copper oxide (CuO)</w:t>
            </w:r>
          </w:p>
        </w:tc>
        <w:tc>
          <w:tcPr>
            <w:tcW w:w="1928" w:type="dxa"/>
            <w:tcBorders>
              <w:top w:val="single" w:sz="4" w:space="0" w:color="auto"/>
              <w:bottom w:val="single" w:sz="4" w:space="0" w:color="auto"/>
            </w:tcBorders>
            <w:vAlign w:val="center"/>
          </w:tcPr>
          <w:p w14:paraId="425FE0B1" w14:textId="77777777" w:rsidR="00907325" w:rsidRPr="0083589A" w:rsidRDefault="00907325" w:rsidP="00BE1BE0">
            <w:pPr>
              <w:spacing w:after="0"/>
              <w:jc w:val="center"/>
              <w:rPr>
                <w:szCs w:val="24"/>
              </w:rPr>
            </w:pPr>
            <w:r w:rsidRPr="0083589A">
              <w:rPr>
                <w:szCs w:val="24"/>
              </w:rPr>
              <w:t>0</w:t>
            </w:r>
          </w:p>
        </w:tc>
        <w:tc>
          <w:tcPr>
            <w:tcW w:w="1928" w:type="dxa"/>
            <w:tcBorders>
              <w:top w:val="single" w:sz="4" w:space="0" w:color="auto"/>
              <w:bottom w:val="single" w:sz="4" w:space="0" w:color="auto"/>
              <w:right w:val="single" w:sz="4" w:space="0" w:color="auto"/>
            </w:tcBorders>
            <w:vAlign w:val="center"/>
          </w:tcPr>
          <w:p w14:paraId="733BB499" w14:textId="77777777" w:rsidR="00907325" w:rsidRPr="0083589A" w:rsidRDefault="00907325" w:rsidP="00BE1BE0">
            <w:pPr>
              <w:spacing w:after="0"/>
              <w:jc w:val="center"/>
              <w:rPr>
                <w:szCs w:val="24"/>
              </w:rPr>
            </w:pPr>
            <w:r w:rsidRPr="0083589A">
              <w:rPr>
                <w:szCs w:val="24"/>
              </w:rPr>
              <w:t>2</w:t>
            </w:r>
          </w:p>
        </w:tc>
      </w:tr>
    </w:tbl>
    <w:p w14:paraId="40DAF5A7" w14:textId="5F99CA82" w:rsidR="00BE1BE0" w:rsidRDefault="00BE1BE0" w:rsidP="00BE1BE0">
      <w:pPr>
        <w:pStyle w:val="Heading4"/>
      </w:pPr>
      <w:r>
        <w:t>Particle size</w:t>
      </w:r>
    </w:p>
    <w:p w14:paraId="251949FB" w14:textId="24E6AF2C" w:rsidR="00907325" w:rsidRDefault="00907325" w:rsidP="0083589A">
      <w:pPr>
        <w:spacing w:before="120"/>
      </w:pPr>
      <w:r w:rsidRPr="00D86888">
        <w:t>The bioactive glass was ground and sieved to obtain particles of less than 100 μm in size - a size previously deemed suitable by our group for both osteogenesis and a reduced immune response</w:t>
      </w:r>
      <w:r w:rsidR="00217DEB" w:rsidRPr="00D86888">
        <w:t xml:space="preserve"> </w:t>
      </w:r>
      <w:r w:rsidR="00217DEB" w:rsidRPr="00D86888">
        <w:fldChar w:fldCharType="begin" w:fldLock="1"/>
      </w:r>
      <w:r w:rsidR="0045705E">
        <w:instrText>ADDIN CSL_CITATION {"citationItems":[{"id":"ITEM-1","itemData":{"DOI":"10.1038/s41598-017-03086-0","ISSN":"2045-2322","PMID":"28592868","author":[{"dropping-particle":"","family":"Lebre","given":"Filipa","non-dropping-particle":"","parse-names":false,"suffix":""},{"dropping-particle":"","family":"Sridharan","given":"Rukmani","non-dropping-particle":"","parse-names":false,"suffix":""},{"dropping-particle":"","family":"Sawkins","given":"Michael J.","non-dropping-particle":"","parse-names":false,"suffix":""},{"dropping-particle":"","family":"Kelly","given":"Daniel J.","non-dropping-particle":"","parse-names":false,"suffix":""},{"dropping-particle":"","family":"O’Brien","given":"Fergal J.","non-dropping-particle":"","parse-names":false,"suffix":""},{"dropping-particle":"","family":"Lavelle","given":"Ed C.","non-dropping-particle":"","parse-names":false,"suffix":""}],"container-title":"Scientific Reports","id":"ITEM-1","issue":"2922","issued":{"date-parts":[["2017"]]},"page":"1-13","title":"The shape and size of hydroxyapatite particles dictate inflammatory responses following implantation","type":"article-journal","volume":"7"},"uris":["http://www.mendeley.com/documents/?uuid=88469aff-5a33-4ef9-b657-94daca10f41e"]},{"id":"ITEM-2","itemData":{"DOI":"10.1111/joa.12262","author":[{"dropping-particle":"","family":"Ryan","given":"Alan James","non-dropping-particle":"","parse-names":false,"suffix":""},{"dropping-particle":"","family":"Gleeson","given":"John P","non-dropping-particle":"","parse-names":false,"suffix":""},{"dropping-particle":"","family":"Matsiko","given":"Amos","non-dropping-particle":"","parse-names":false,"suffix":""},{"dropping-particle":"","family":"Thompson","given":"Emmet M","non-dropping-particle":"","parse-names":false,"suffix":""},{"dropping-particle":"","family":"O'Brien","given":"Fergal J","non-dropping-particle":"","parse-names":false,"suffix":""}],"container-title":"Journal of Anatomy","id":"ITEM-2","issue":"6","issued":{"date-parts":[["2014"]]},"page":"732-745","title":"Effect of different hydroxyapatite incorporation methods on the structural and biological properties of porous collagen scaffolds for bone repair","type":"article-journal","volume":"227"},"uris":["http://www.mendeley.com/documents/?uuid=b7b0a71c-98e7-4ce5-9bbf-46cb5806a6f2"]}],"mendeley":{"formattedCitation":"[33,34]","plainTextFormattedCitation":"[33,34]","previouslyFormattedCitation":"[33,34]"},"properties":{"noteIndex":0},"schema":"https://github.com/citation-style-language/schema/raw/master/csl-citation.json"}</w:instrText>
      </w:r>
      <w:r w:rsidR="00217DEB" w:rsidRPr="00D86888">
        <w:fldChar w:fldCharType="separate"/>
      </w:r>
      <w:r w:rsidR="00907868" w:rsidRPr="00907868">
        <w:rPr>
          <w:noProof/>
        </w:rPr>
        <w:t>[33,34]</w:t>
      </w:r>
      <w:r w:rsidR="00217DEB" w:rsidRPr="00D86888">
        <w:fldChar w:fldCharType="end"/>
      </w:r>
      <w:r w:rsidR="00217DEB" w:rsidRPr="00D86888">
        <w:t>.</w:t>
      </w:r>
      <w:r w:rsidRPr="00D86888">
        <w:t xml:space="preserve"> The resulting bioactive glass particles were sized by dynamic light scattering using a Mastersizer 2000 (Malvern Instruments, UK). Briefly, 5 mg of bioactive glass was suspended in 5 ml of 100% ethanol and was added dropwise to the dispersant chamber containing ethanol under stirring at 1260 rpm until the laser obscuration value was approximately 10%. Particle size was measured and repeated in triplicate. The refractive index of the ethanol and bioactive glass were taken to be 1.36 and 1.545, respectively</w:t>
      </w:r>
      <w:r w:rsidR="00963364" w:rsidRPr="00D86888">
        <w:t xml:space="preserve"> </w:t>
      </w:r>
      <w:r w:rsidR="00963364" w:rsidRPr="00D86888">
        <w:fldChar w:fldCharType="begin" w:fldLock="1"/>
      </w:r>
      <w:r w:rsidR="0045705E">
        <w:instrText>ADDIN CSL_CITATION {"citationItems":[{"id":"ITEM-1","itemData":{"author":[{"dropping-particle":"","family":"Scott","given":"Troy A","non-dropping-particle":"","parse-names":false,"suffix":""}],"container-title":"J. Phys. Chem.","id":"ITEM-1","issue":"5","issued":{"date-parts":[["1946"]]},"page":"406-412","title":"Refractive index of ethanol-water mixures and density and refractive index of ethanol-water-ethyl ether mixtures","type":"article-journal","volume":"50"},"uris":["http://www.mendeley.com/documents/?uuid=1dc46671-02aa-4e79-8250-d3df71c4782f"]},{"id":"ITEM-2","itemData":{"URL":"http://xlscitech.com/products/Products-Functional.html","accessed":{"date-parts":[["2017","7","24"]]},"author":[{"dropping-particle":"","family":"XL-SciTech","given":"","non-dropping-particle":"","parse-names":false,"suffix":""}],"id":"ITEM-2","issued":{"date-parts":[["2013"]]},"title":"Bioactive Glass Microspheres: 4PiGraft(TM)","type":"webpage"},"uris":["http://www.mendeley.com/documents/?uuid=f6fa735b-f570-3b9f-8376-c24350cf08fb"]}],"mendeley":{"formattedCitation":"[35,36]","plainTextFormattedCitation":"[35,36]","previouslyFormattedCitation":"[35,36]"},"properties":{"noteIndex":0},"schema":"https://github.com/citation-style-language/schema/raw/master/csl-citation.json"}</w:instrText>
      </w:r>
      <w:r w:rsidR="00963364" w:rsidRPr="00D86888">
        <w:fldChar w:fldCharType="separate"/>
      </w:r>
      <w:r w:rsidR="00907868" w:rsidRPr="00907868">
        <w:rPr>
          <w:noProof/>
        </w:rPr>
        <w:t>[35,36]</w:t>
      </w:r>
      <w:r w:rsidR="00963364" w:rsidRPr="00D86888">
        <w:fldChar w:fldCharType="end"/>
      </w:r>
      <w:r w:rsidR="00963364" w:rsidRPr="00D86888">
        <w:t>.</w:t>
      </w:r>
    </w:p>
    <w:p w14:paraId="3C88E7A4" w14:textId="77777777" w:rsidR="00B31408" w:rsidRPr="004D5029" w:rsidRDefault="00B31408" w:rsidP="00BE1BE0">
      <w:pPr>
        <w:pStyle w:val="Heading4"/>
      </w:pPr>
      <w:r w:rsidRPr="004D5029">
        <w:t>XRD analysis</w:t>
      </w:r>
    </w:p>
    <w:p w14:paraId="01260332" w14:textId="7CCD19B3" w:rsidR="00CF0707" w:rsidRPr="00D86888" w:rsidRDefault="00B31408" w:rsidP="00B31408">
      <w:pPr>
        <w:spacing w:before="120"/>
      </w:pPr>
      <w:r w:rsidRPr="004D5029">
        <w:t>X-ray diffraction analysis was carried out using a Rigaku Miniflex X-ray diffractom</w:t>
      </w:r>
      <w:r w:rsidR="00AA751F" w:rsidRPr="004D5029">
        <w:t>e</w:t>
      </w:r>
      <w:r w:rsidRPr="004D5029">
        <w:t>ter with a 2Theta range from 10° to 80° and a step size of 0.02°. Cu Kα radiation was used for the measurement.</w:t>
      </w:r>
    </w:p>
    <w:p w14:paraId="5637DD14" w14:textId="77777777" w:rsidR="00EA1D1B" w:rsidRPr="00D86888" w:rsidRDefault="00EA1D1B" w:rsidP="003C5B0C">
      <w:pPr>
        <w:pStyle w:val="Heading3"/>
        <w:numPr>
          <w:ilvl w:val="1"/>
          <w:numId w:val="23"/>
        </w:numPr>
      </w:pPr>
      <w:bookmarkStart w:id="14" w:name="_Toc510971220"/>
      <w:r w:rsidRPr="00D86888">
        <w:t>Collagen - bioactive glass composite scaffold fabrication</w:t>
      </w:r>
      <w:bookmarkEnd w:id="14"/>
    </w:p>
    <w:p w14:paraId="38291944" w14:textId="0CF71C64" w:rsidR="00EA1D1B" w:rsidRPr="00D86888" w:rsidRDefault="00EA1D1B" w:rsidP="00EA1D1B">
      <w:r w:rsidRPr="00D86888">
        <w:t>Having identified the optimal concentration range of copper required to kill bacteria and minimise mammalian cell toxicity, we estimated the appropriate concentration range of 2% (mol) copper-doped bioactive glass to incorporate into the collagen scaffolds (300% CuBG = 0.3 mg Cu</w:t>
      </w:r>
      <w:r w:rsidRPr="00A06B18">
        <w:rPr>
          <w:vertAlign w:val="superscript"/>
        </w:rPr>
        <w:t>2+</w:t>
      </w:r>
      <w:r w:rsidRPr="00D86888">
        <w:t>/ml). The scaffolds were fabricated by freeze</w:t>
      </w:r>
      <w:r w:rsidR="00963364" w:rsidRPr="00D86888">
        <w:t>-</w:t>
      </w:r>
      <w:r w:rsidRPr="00D86888">
        <w:t xml:space="preserve">drying a co-suspension of collagen and bioactive glass particles (+/- copper doping, referred to as CuBG and BG, respectively) at a range of different concentrations (collagen only, 20%, 100%, and 300% BG or CuBG w/w bioactive glass to collagen), similar to methods previously developed within our group to </w:t>
      </w:r>
      <w:r w:rsidRPr="00D86888">
        <w:lastRenderedPageBreak/>
        <w:t xml:space="preserve">incorporate ceramics into collagen scaffolds </w:t>
      </w:r>
      <w:r w:rsidR="00963364" w:rsidRPr="00D86888">
        <w:fldChar w:fldCharType="begin" w:fldLock="1"/>
      </w:r>
      <w:r w:rsidR="0045705E">
        <w:instrText>ADDIN CSL_CITATION {"citationItems":[{"id":"ITEM-1","itemData":{"DOI":"10.1016/j.biomaterials.2015.02.006","ISBN":"1878-5905 (Electronic)\\r0142-9612 (Linking)","ISSN":"18785905","PMID":"25818442","abstract":"One of the biggest challenges in regenerative medicine is promoting sufficient vascularisation of tissue-engineered constructs. One approach to overcome this challenge is to target the cellular hypoxia inducible factor (HIF-1??) pathway, which responds to low oxygen concentration (hypoxia) and results in the activation of numerous pro-angiogenic genes including vascular endothelial growth factor (VEGF). Cobalt ions are known to mimic hypoxia by artificially stabilising the HIF-1?? transcription factor. Here, resorbable bioactive glass particles (38??m and 100??m) with cobalt ions incorporated into the glass network were used to create bioactive glass/collagen-glycosaminoglycan scaffolds optimised for bone tissue engineering. Inclusion of the bioactive glass improved the compressive modulus of the resulting composite scaffolds while maintaining high degrees of porosity (&gt;97%). Moreover, invitro analysis demonstrated that the incorporation of cobalt bioactive glass with a mean particle size of 100??m significantly enhanced the production and expression of VEGF in endothelial cells, and cobalt bioactive glass/collagen-glycosaminoglycan scaffold conditioned media also promoted enhanced tubule formation. Furthermore, our results prove the ability of these scaffolds to support osteoblast cell proliferation and osteogenesis in all bioactive glass/collagen-glycosaminoglycan scaffolds irrespective of the particle size. In summary, we have developed a hypoxia-mimicking tissue-engineered scaffold with pro-angiogenic and pro-osteogenic capabilities that may encourage bone tissue regeneration and overcome the problem of inadequate vascularisation of grafts commonly seen in the field of tissue engineering.","author":[{"dropping-particle":"","family":"Quinlan","given":"Elaine","non-dropping-particle":"","parse-names":false,"suffix":""},{"dropping-particle":"","family":"Partap","given":"Sonia","non-dropping-particle":"","parse-names":false,"suffix":""},{"dropping-particle":"","family":"Azevedo","given":"Maria M.","non-dropping-particle":"","parse-names":false,"suffix":""},{"dropping-particle":"","family":"Jell","given":"Gavin","non-dropping-particle":"","parse-names":false,"suffix":""},{"dropping-particle":"","family":"Stevens","given":"Molly M.","non-dropping-particle":"","parse-names":false,"suffix":""},{"dropping-particle":"","family":"O'Brien","given":"Fergal J.","non-dropping-particle":"","parse-names":false,"suffix":""}],"container-title":"Biomaterials","id":"ITEM-1","issue":"1","issued":{"date-parts":[["2015"]]},"page":"358-366","title":"Hypoxia-mimicking bioactive glass/collagen glycosaminoglycan composite scaffolds to enhance angiogenesis and bone repair","type":"article-journal","volume":"52"},"uris":["http://www.mendeley.com/documents/?uuid=955b8b72-6a8c-4769-8c24-a97aaf28d3a1"]},{"id":"ITEM-2","itemData":{"DOI":"10.1111/joa.12262","author":[{"dropping-particle":"","family":"Ryan","given":"Alan James","non-dropping-particle":"","parse-names":false,"suffix":""},{"dropping-particle":"","family":"Gleeson","given":"John P","non-dropping-particle":"","parse-names":false,"suffix":""},{"dropping-particle":"","family":"Matsiko","given":"Amos","non-dropping-particle":"","parse-names":false,"suffix":""},{"dropping-particle":"","family":"Thompson","given":"Emmet M","non-dropping-particle":"","parse-names":false,"suffix":""},{"dropping-particle":"","family":"O'Brien","given":"Fergal J","non-dropping-particle":"","parse-names":false,"suffix":""}],"container-title":"Journal of Anatomy","id":"ITEM-2","issue":"6","issued":{"date-parts":[["2014"]]},"page":"732-745","title":"Effect of different hydroxyapatite incorporation methods on the structural and biological properties of porous collagen scaffolds for bone repair","type":"article-journal","volume":"227"},"uris":["http://www.mendeley.com/documents/?uuid=b7b0a71c-98e7-4ce5-9bbf-46cb5806a6f2"]},{"id":"ITEM-3","itemData":{"author":[{"dropping-particle":"","family":"Gleeson","given":"J P","non-dropping-particle":"","parse-names":false,"suffix":""},{"dropping-particle":"","family":"Plunkett","given":"N A","non-dropping-particle":"","parse-names":false,"suffix":""},{"dropping-particle":"","family":"O'Brien","given":"Fergal J.","non-dropping-particle":"","parse-names":false,"suffix":""}],"container-title":"European Cells and Materials","id":"ITEM-3","issued":{"date-parts":[["2010"]]},"page":"218-230","title":"Addition of hydroxyapatite improves stiffness, interconnectivity and osteogenic potential of a highly porous collagen-based scaffold for bone tissue regeneration","type":"article-journal","volume":"20"},"uris":["http://www.mendeley.com/documents/?uuid=8e6ba347-5542-4cb4-bb48-354cac64a606"]}],"mendeley":{"formattedCitation":"[27,34,37]","plainTextFormattedCitation":"[27,34,37]","previouslyFormattedCitation":"[27,34,37]"},"properties":{"noteIndex":0},"schema":"https://github.com/citation-style-language/schema/raw/master/csl-citation.json"}</w:instrText>
      </w:r>
      <w:r w:rsidR="00963364" w:rsidRPr="00D86888">
        <w:fldChar w:fldCharType="separate"/>
      </w:r>
      <w:r w:rsidR="00907868" w:rsidRPr="00907868">
        <w:rPr>
          <w:noProof/>
        </w:rPr>
        <w:t>[27,34,37]</w:t>
      </w:r>
      <w:r w:rsidR="00963364" w:rsidRPr="00D86888">
        <w:fldChar w:fldCharType="end"/>
      </w:r>
      <w:r w:rsidR="00963364" w:rsidRPr="00D86888">
        <w:t>.</w:t>
      </w:r>
      <w:r w:rsidRPr="00D86888">
        <w:t xml:space="preserve"> Briefly, a collagen slurry was produced by mixing type I collagen (5 mg/ml) isolated from bovine tendon in aqueous 0.5 M acetic acid solution (Fisher Scientific, UK). Bioactive glass was added to the collagen slurry and was mixed between two syringes connected with a luer lock until a homogeneous suspension was obtained. The slurry suspension was then degassed using a vacuum chamber and freeze-dried in a custom built mould (10 mm </w:t>
      </w:r>
      <w:r w:rsidRPr="00D86888">
        <w:rPr>
          <w:rFonts w:ascii="Cambria Math" w:hAnsi="Cambria Math" w:cs="Cambria Math"/>
        </w:rPr>
        <w:t>⌀</w:t>
      </w:r>
      <w:r w:rsidRPr="00D86888">
        <w:t xml:space="preserve"> x 5mm discs) until a final temperature of -40</w:t>
      </w:r>
      <w:r w:rsidRPr="00D86888">
        <w:rPr>
          <w:rFonts w:cs="Arial"/>
        </w:rPr>
        <w:t>°</w:t>
      </w:r>
      <w:r w:rsidRPr="00D86888">
        <w:t>C using a previously optimised freeze-drying profile</w:t>
      </w:r>
      <w:r w:rsidR="00963364" w:rsidRPr="00D86888">
        <w:t xml:space="preserve"> </w:t>
      </w:r>
      <w:r w:rsidR="00963364" w:rsidRPr="00D86888">
        <w:fldChar w:fldCharType="begin" w:fldLock="1"/>
      </w:r>
      <w:r w:rsidR="0045705E">
        <w:instrText>ADDIN CSL_CITATION {"citationItems":[{"id":"ITEM-1","itemData":{"DOI":"10.1016/S0142-9612(03)00630-6","ISBN":"0142-9612 (Print)\\n0142-9612 (Linking)","ISSN":"01429612","PMID":"14615173","abstract":"The cellular structure of collagen-glycosaminoglycan (CG) scaffolds used in tissue engineering must be designed to meet a number of constraints with respect to biocompatibility, degradability, pore size, pore structure, and specific surface area. The conventional freeze-drying process for fabricating CG scaffolds creates variable cooling rates throughout the scaffold during freezing, producing a heterogeneous matrix pore structure with a large variation in average pore diameter at different locations throughout the scaffold. In this study, the scaffold synthesis process was modified to produce more homogeneous freezing by controlling of the rate of freezing during fabrication and obtaining more uniform contact between the pan containing the CG suspension and the freezing shelf through the use of smaller, less warped pans. The modified fabrication technique has allowed production of CG scaffolds with a more homogeneous structure characterized by less variation in mean pore size throughout the scaffold (mean: 95.9??m, CV: 0.128) compared to the original scaffold (mean: 132.4??m, CV: 0.185). The pores produced using the new technique appear to be more equiaxed, compared with those in scaffolds produced using the original technique. ?? 2003 Elsevier Ltd. All rights reserved.","author":[{"dropping-particle":"","family":"O'Brien","given":"Fergal J","non-dropping-particle":"","parse-names":false,"suffix":""},{"dropping-particle":"","family":"Harley","given":"Brendan A.","non-dropping-particle":"","parse-names":false,"suffix":""},{"dropping-particle":"V.","family":"Yannas","given":"Ioannis","non-dropping-particle":"","parse-names":false,"suffix":""},{"dropping-particle":"","family":"Gibson","given":"Lorna","non-dropping-particle":"","parse-names":false,"suffix":""}],"container-title":"Biomaterials","id":"ITEM-1","issue":"6","issued":{"date-parts":[["2004"]]},"page":"1077-1086","title":"Influence of freezing rate on pore structure in freeze-dried collagen-GAG scaffolds","type":"article-journal","volume":"25"},"uris":["http://www.mendeley.com/documents/?uuid=5d266037-59a8-4c1c-9f6f-e62100612a4a"]}],"mendeley":{"formattedCitation":"[38]","plainTextFormattedCitation":"[38]","previouslyFormattedCitation":"[38]"},"properties":{"noteIndex":0},"schema":"https://github.com/citation-style-language/schema/raw/master/csl-citation.json"}</w:instrText>
      </w:r>
      <w:r w:rsidR="00963364" w:rsidRPr="00D86888">
        <w:fldChar w:fldCharType="separate"/>
      </w:r>
      <w:r w:rsidR="00907868" w:rsidRPr="00907868">
        <w:rPr>
          <w:noProof/>
        </w:rPr>
        <w:t>[38]</w:t>
      </w:r>
      <w:r w:rsidR="00963364" w:rsidRPr="00D86888">
        <w:fldChar w:fldCharType="end"/>
      </w:r>
      <w:r w:rsidR="00963364" w:rsidRPr="00D86888">
        <w:t>.</w:t>
      </w:r>
      <w:r w:rsidRPr="00D86888">
        <w:t xml:space="preserve"> Scaffolds were sterilised and physically crosslinked using dehydrothermal (DHT) treatment at 105°C for 24 hours at 0.05 bar</w:t>
      </w:r>
      <w:r w:rsidR="00963364" w:rsidRPr="00D86888">
        <w:t xml:space="preserve"> </w:t>
      </w:r>
      <w:r w:rsidR="00963364" w:rsidRPr="00D86888">
        <w:fldChar w:fldCharType="begin" w:fldLock="1"/>
      </w:r>
      <w:r w:rsidR="0045705E">
        <w:instrText>ADDIN CSL_CITATION {"citationItems":[{"id":"ITEM-1","itemData":{"DOI":"10.1002/jbm.a.31955","ISBN":"1549-3296","ISSN":"15493296","PMID":"18431763","abstract":"The mechanical properties of tissue engineering scaffolds are critical for preserving the structural integrity and functionality during both in vivo implantation and long-term performance. In addition, the mechanical and structural properties of the scaffold can direct cellular activity within a tissue-engineered construct. In this context, the aim of this study was to investigate the effects of dehydrothermal (DHT) treatment on the mechanical and structural properties of collagen-glycosaminoglycan (CG) scaffolds. Temperature (105-180 degrees C) and exposure period (24-120 h) of DHT treatment were varied to determine their effect on the mechanical properties, crosslinking density, and denaturation of CG scaffolds. As expected, increasing the temperature and duration of DHT treatment resulted in an increase in the mechanical properties. Compressive properties increased up to twofold, while tensile properties increased up to 3.8-fold. Crosslink density was found to increase with DHT temperature but not exposure period. Denaturation also increased with DHT temperature and exposure period, ranging from 25% to 60% denaturation. Crosslink density was found to be correlated with compressive modulus, whilst denaturation was found to correlate with tensile modulus. Taken together, these results indicate that DHT treatment is a viable technique for altering the mechanical properties of CG scaffolds. The enhanced mechanical properties of DHT-treated CG scaffolds improve their suitability for use both in vitro and in vivo. In addition, this work facilitates the investigation of the effects of mechanical properties and denaturation on cell activity in a 3D environment.","author":[{"dropping-particle":"","family":"Haugh","given":"Matthew G.","non-dropping-particle":"","parse-names":false,"suffix":""},{"dropping-particle":"","family":"Jaasma","given":"Michael J.","non-dropping-particle":"","parse-names":false,"suffix":""},{"dropping-particle":"","family":"O'Brien","given":"Fergal J.","non-dropping-particle":"","parse-names":false,"suffix":""}],"container-title":"Journal of Biomedical Materials Research - Part A","id":"ITEM-1","issue":"2","issued":{"date-parts":[["2009"]]},"page":"363-369","title":"The effect of dehydrothermal treatment on the mechanical and structural properties of collagen-GAG scaffolds","type":"article-journal","volume":"89"},"uris":["http://www.mendeley.com/documents/?uuid=41087d4b-466b-4e40-b1b7-0e1f625e9c8f"]}],"mendeley":{"formattedCitation":"[39]","plainTextFormattedCitation":"[39]","previouslyFormattedCitation":"[39]"},"properties":{"noteIndex":0},"schema":"https://github.com/citation-style-language/schema/raw/master/csl-citation.json"}</w:instrText>
      </w:r>
      <w:r w:rsidR="00963364" w:rsidRPr="00D86888">
        <w:fldChar w:fldCharType="separate"/>
      </w:r>
      <w:r w:rsidR="00907868" w:rsidRPr="00907868">
        <w:rPr>
          <w:noProof/>
        </w:rPr>
        <w:t>[39]</w:t>
      </w:r>
      <w:r w:rsidR="00963364" w:rsidRPr="00D86888">
        <w:fldChar w:fldCharType="end"/>
      </w:r>
      <w:r w:rsidR="00963364" w:rsidRPr="00D86888">
        <w:t>.</w:t>
      </w:r>
      <w:r w:rsidRPr="00D86888">
        <w:t xml:space="preserve"> Scaffolds were then further chemically crosslinked using EDAC [1-ethyl-3-(3-dimethyl aminopropyl) carbodiimide] (6 mM) and NHS (N</w:t>
      </w:r>
      <w:r w:rsidR="000D1E35" w:rsidRPr="00D86888">
        <w:t>-</w:t>
      </w:r>
      <w:r w:rsidRPr="00D86888">
        <w:t>hydroxysuccinimide) (2.4 mM) in distilled water for two hours, followed by 2X washes in PBS</w:t>
      </w:r>
      <w:r w:rsidR="00963364" w:rsidRPr="00D86888">
        <w:t xml:space="preserve"> </w:t>
      </w:r>
      <w:r w:rsidR="00963364" w:rsidRPr="00D86888">
        <w:fldChar w:fldCharType="begin" w:fldLock="1"/>
      </w:r>
      <w:r w:rsidR="0045705E">
        <w:instrText>ADDIN CSL_CITATION {"citationItems":[{"id":"ITEM-1","itemData":{"author":[{"dropping-particle":"","family":"Haugh","given":"Matthew G","non-dropping-particle":"","parse-names":false,"suffix":""},{"dropping-particle":"","family":"Murphy","given":"Ciara M","non-dropping-particle":"","parse-names":false,"suffix":""},{"dropping-particle":"","family":"Mckiernan","given":"Ross C","non-dropping-particle":"","parse-names":false,"suffix":""},{"dropping-particle":"","family":"Altenbuchner","given":"Cornelia","non-dropping-particle":"","parse-names":false,"suffix":""},{"dropping-particle":"","family":"O'Brien","given":"Fergal J","non-dropping-particle":"","parse-names":false,"suffix":""}],"container-title":"Tissue engineering. Part A","id":"ITEM-1","issued":{"date-parts":[["2011"]]},"page":"1201-1208","title":"Crosslinking and mechanical properties significantly influence cell attachment, proliferation, and migration within collagen glycosaminoglycan scaffolds","type":"article-journal","volume":"17"},"uris":["http://www.mendeley.com/documents/?uuid=c775eb5c-c270-488c-8ac0-6b37f2632373"]}],"mendeley":{"formattedCitation":"[40]","plainTextFormattedCitation":"[40]","previouslyFormattedCitation":"[40]"},"properties":{"noteIndex":0},"schema":"https://github.com/citation-style-language/schema/raw/master/csl-citation.json"}</w:instrText>
      </w:r>
      <w:r w:rsidR="00963364" w:rsidRPr="00D86888">
        <w:fldChar w:fldCharType="separate"/>
      </w:r>
      <w:r w:rsidR="00907868" w:rsidRPr="00907868">
        <w:rPr>
          <w:noProof/>
        </w:rPr>
        <w:t>[40]</w:t>
      </w:r>
      <w:r w:rsidR="00963364" w:rsidRPr="00D86888">
        <w:fldChar w:fldCharType="end"/>
      </w:r>
      <w:r w:rsidR="00963364" w:rsidRPr="00D86888">
        <w:t>.</w:t>
      </w:r>
    </w:p>
    <w:p w14:paraId="1BBB06BE" w14:textId="77777777" w:rsidR="00EA1D1B" w:rsidRPr="00D86888" w:rsidRDefault="00EA1D1B" w:rsidP="003C5B0C">
      <w:pPr>
        <w:pStyle w:val="Heading3"/>
        <w:numPr>
          <w:ilvl w:val="1"/>
          <w:numId w:val="23"/>
        </w:numPr>
      </w:pPr>
      <w:bookmarkStart w:id="15" w:name="_Toc510971221"/>
      <w:r w:rsidRPr="00D86888">
        <w:t>Physical characterisation of collagen-bioactive glass scaffolds</w:t>
      </w:r>
      <w:bookmarkEnd w:id="15"/>
    </w:p>
    <w:p w14:paraId="70FE73F9" w14:textId="77777777" w:rsidR="00EA1D1B" w:rsidRPr="00D86888" w:rsidRDefault="00EA1D1B" w:rsidP="003C5B0C">
      <w:pPr>
        <w:pStyle w:val="Heading4"/>
      </w:pPr>
      <w:bookmarkStart w:id="16" w:name="_Toc510971222"/>
      <w:r w:rsidRPr="00D86888">
        <w:t>Distribution of bioactive glass within scaffold &amp; effect of bioactive glass addition on scaffold porosity and pore size</w:t>
      </w:r>
      <w:bookmarkEnd w:id="16"/>
    </w:p>
    <w:p w14:paraId="6CB40633" w14:textId="54C9673E" w:rsidR="00EA1D1B" w:rsidRPr="00D86888" w:rsidRDefault="00EA1D1B" w:rsidP="00EA1D1B">
      <w:r w:rsidRPr="00D86888">
        <w:t>Scanning electron microscopy (SEM) was used to characterize the scaffold morphology, porosity, and bioactive glass distribution. Scaffold samples were prepared for SEM analysis by mounting onto SEM stubs and imaged using a Carl Zeiss Ultra SEM equipped with a secondary electron detector and energy selective backscatter detector (Carl Zeiss, Germany). The porosity of the bioactive glass scaffolds was calculated by measuring the density of the scaffold in relation to the density of the individual scaf</w:t>
      </w:r>
      <w:r w:rsidR="00DF13F3" w:rsidRPr="00D86888">
        <w:t>fold components as per</w:t>
      </w:r>
      <w:r w:rsidR="002D7CD2" w:rsidRPr="00D86888">
        <w:fldChar w:fldCharType="begin"/>
      </w:r>
      <w:r w:rsidR="002D7CD2" w:rsidRPr="00D86888">
        <w:instrText xml:space="preserve"> REF _Ref523754925 \h </w:instrText>
      </w:r>
      <w:r w:rsidR="002D7CD2" w:rsidRPr="00D86888">
        <w:fldChar w:fldCharType="separate"/>
      </w:r>
      <w:r w:rsidR="004D5029">
        <w:t xml:space="preserve">            </w:t>
      </w:r>
      <w:r w:rsidR="004D5029" w:rsidRPr="00D86888">
        <w:t xml:space="preserve">(Equation </w:t>
      </w:r>
      <w:r w:rsidR="004D5029">
        <w:rPr>
          <w:noProof/>
        </w:rPr>
        <w:t>1</w:t>
      </w:r>
      <w:r w:rsidR="002D7CD2" w:rsidRPr="00D86888">
        <w:fldChar w:fldCharType="end"/>
      </w:r>
      <w:r w:rsidRPr="00D86888">
        <w:t>, below.</w:t>
      </w:r>
    </w:p>
    <w:p w14:paraId="70936E4E" w14:textId="3197307E" w:rsidR="002D7CD2" w:rsidRPr="00D86888" w:rsidRDefault="00EA1D1B" w:rsidP="00EA1D1B">
      <w:pPr>
        <w:pStyle w:val="Caption"/>
      </w:pPr>
      <m:oMath>
        <m:r>
          <m:rPr>
            <m:nor/>
          </m:rPr>
          <w:rPr>
            <w:rFonts w:ascii="Cambria Math" w:hAnsi="Cambria Math"/>
          </w:rPr>
          <m:t>Scaffold porosity</m:t>
        </m:r>
        <m:r>
          <w:rPr>
            <w:rFonts w:ascii="Cambria Math" w:hAnsi="Cambria Math"/>
          </w:rPr>
          <m:t xml:space="preserve"> </m:t>
        </m:r>
        <m:d>
          <m:dPr>
            <m:ctrlPr>
              <w:rPr>
                <w:rFonts w:ascii="Cambria Math" w:hAnsi="Cambria Math"/>
                <w:i/>
              </w:rPr>
            </m:ctrlPr>
          </m:dPr>
          <m:e>
            <m:r>
              <m:rPr>
                <m:nor/>
              </m:rPr>
              <w:rPr>
                <w:rFonts w:ascii="Cambria Math" w:hAnsi="Cambria Math"/>
              </w:rPr>
              <m:t>%</m:t>
            </m:r>
          </m:e>
        </m:d>
        <m:r>
          <m:rPr>
            <m:nor/>
          </m:rPr>
          <w:rPr>
            <w:rFonts w:ascii="Cambria Math" w:hAnsi="Cambria Math"/>
          </w:rPr>
          <m:t>=</m:t>
        </m:r>
        <m:r>
          <w:rPr>
            <w:rFonts w:ascii="Cambria Math" w:hAnsi="Cambria Math"/>
          </w:rPr>
          <m:t xml:space="preserve"> </m:t>
        </m:r>
        <m:d>
          <m:dPr>
            <m:ctrlPr>
              <w:rPr>
                <w:rFonts w:ascii="Cambria Math" w:hAnsi="Cambria Math"/>
                <w:i/>
              </w:rPr>
            </m:ctrlPr>
          </m:dPr>
          <m:e>
            <m:r>
              <m:rPr>
                <m:nor/>
              </m:rPr>
              <w:rPr>
                <w:rFonts w:ascii="Cambria Math" w:hAnsi="Cambria Math"/>
              </w:rPr>
              <m:t>1-</m:t>
            </m:r>
            <m:f>
              <m:fPr>
                <m:ctrlPr>
                  <w:rPr>
                    <w:rFonts w:ascii="Cambria Math" w:hAnsi="Cambria Math"/>
                    <w:i/>
                  </w:rPr>
                </m:ctrlPr>
              </m:fPr>
              <m:num>
                <m:sSub>
                  <m:sSubPr>
                    <m:ctrlPr>
                      <w:rPr>
                        <w:rFonts w:ascii="Cambria Math" w:hAnsi="Cambria Math"/>
                        <w:i/>
                      </w:rPr>
                    </m:ctrlPr>
                  </m:sSubPr>
                  <m:e>
                    <m:r>
                      <m:rPr>
                        <m:nor/>
                      </m:rPr>
                      <w:rPr>
                        <w:rFonts w:ascii="Cambria Math" w:hAnsi="Cambria Math"/>
                      </w:rPr>
                      <m:t>ρ</m:t>
                    </m:r>
                  </m:e>
                  <m:sub>
                    <m:r>
                      <m:rPr>
                        <m:nor/>
                      </m:rPr>
                      <w:rPr>
                        <w:rFonts w:ascii="Cambria Math" w:hAnsi="Cambria Math"/>
                      </w:rPr>
                      <m:t>scaffold</m:t>
                    </m:r>
                  </m:sub>
                </m:sSub>
              </m:num>
              <m:den>
                <m:sSub>
                  <m:sSubPr>
                    <m:ctrlPr>
                      <w:rPr>
                        <w:rFonts w:ascii="Cambria Math" w:hAnsi="Cambria Math"/>
                        <w:i/>
                      </w:rPr>
                    </m:ctrlPr>
                  </m:sSubPr>
                  <m:e>
                    <m:r>
                      <m:rPr>
                        <m:nor/>
                      </m:rPr>
                      <w:rPr>
                        <w:rFonts w:ascii="Cambria Math" w:hAnsi="Cambria Math"/>
                      </w:rPr>
                      <m:t>(ρ</m:t>
                    </m:r>
                  </m:e>
                  <m:sub>
                    <m:r>
                      <m:rPr>
                        <m:nor/>
                      </m:rPr>
                      <w:rPr>
                        <w:rFonts w:ascii="Cambria Math" w:hAnsi="Cambria Math"/>
                      </w:rPr>
                      <m:t>collagen</m:t>
                    </m:r>
                  </m:sub>
                </m:sSub>
                <m:r>
                  <m:rPr>
                    <m:nor/>
                  </m:rPr>
                  <w:rPr>
                    <w:rFonts w:ascii="Cambria Math" w:hAnsi="Cambria Math"/>
                  </w:rPr>
                  <m:t>)</m:t>
                </m:r>
                <m:d>
                  <m:dPr>
                    <m:ctrlPr>
                      <w:rPr>
                        <w:rFonts w:ascii="Cambria Math" w:hAnsi="Cambria Math"/>
                        <w:i/>
                      </w:rPr>
                    </m:ctrlPr>
                  </m:dPr>
                  <m:e>
                    <m:r>
                      <m:rPr>
                        <m:nor/>
                      </m:rPr>
                      <w:rPr>
                        <w:rFonts w:ascii="Cambria Math" w:hAnsi="Cambria Math"/>
                      </w:rPr>
                      <m:t>% wt collagen</m:t>
                    </m:r>
                  </m:e>
                </m:d>
                <m:r>
                  <m:rPr>
                    <m:nor/>
                  </m:rPr>
                  <w:rPr>
                    <w:rFonts w:ascii="Cambria Math" w:hAnsi="Cambria Math"/>
                  </w:rPr>
                  <m:t>+(</m:t>
                </m:r>
                <m:sSub>
                  <m:sSubPr>
                    <m:ctrlPr>
                      <w:rPr>
                        <w:rFonts w:ascii="Cambria Math" w:hAnsi="Cambria Math"/>
                        <w:i/>
                      </w:rPr>
                    </m:ctrlPr>
                  </m:sSubPr>
                  <m:e>
                    <m:r>
                      <m:rPr>
                        <m:nor/>
                      </m:rPr>
                      <w:rPr>
                        <w:rFonts w:ascii="Cambria Math" w:hAnsi="Cambria Math"/>
                      </w:rPr>
                      <m:t>ρ</m:t>
                    </m:r>
                  </m:e>
                  <m:sub>
                    <m:r>
                      <m:rPr>
                        <m:nor/>
                      </m:rPr>
                      <w:rPr>
                        <w:rFonts w:ascii="Cambria Math" w:hAnsi="Cambria Math"/>
                      </w:rPr>
                      <m:t>bioactive glass</m:t>
                    </m:r>
                  </m:sub>
                </m:sSub>
                <m:r>
                  <m:rPr>
                    <m:nor/>
                  </m:rPr>
                  <w:rPr>
                    <w:rFonts w:ascii="Cambria Math" w:hAnsi="Cambria Math"/>
                  </w:rPr>
                  <m:t>)</m:t>
                </m:r>
                <m:d>
                  <m:dPr>
                    <m:ctrlPr>
                      <w:rPr>
                        <w:rFonts w:ascii="Cambria Math" w:hAnsi="Cambria Math"/>
                        <w:i/>
                      </w:rPr>
                    </m:ctrlPr>
                  </m:dPr>
                  <m:e>
                    <m:r>
                      <m:rPr>
                        <m:nor/>
                      </m:rPr>
                      <w:rPr>
                        <w:rFonts w:ascii="Cambria Math" w:hAnsi="Cambria Math"/>
                      </w:rPr>
                      <m:t>% wt bioactive glass</m:t>
                    </m:r>
                  </m:e>
                </m:d>
              </m:den>
            </m:f>
          </m:e>
        </m:d>
      </m:oMath>
      <w:r w:rsidRPr="00D86888">
        <w:t xml:space="preserve"> </w:t>
      </w:r>
      <w:bookmarkStart w:id="17" w:name="_Ref523754925"/>
      <w:r w:rsidR="00F10BE6">
        <w:t xml:space="preserve">            </w:t>
      </w:r>
      <w:r w:rsidR="002D7CD2" w:rsidRPr="00D86888">
        <w:t xml:space="preserve">(Equation </w:t>
      </w:r>
      <w:r w:rsidR="0027659D">
        <w:rPr>
          <w:noProof/>
        </w:rPr>
        <w:fldChar w:fldCharType="begin"/>
      </w:r>
      <w:r w:rsidR="0027659D">
        <w:rPr>
          <w:noProof/>
        </w:rPr>
        <w:instrText xml:space="preserve"> SEQ Equation \* ARABIC </w:instrText>
      </w:r>
      <w:r w:rsidR="0027659D">
        <w:rPr>
          <w:noProof/>
        </w:rPr>
        <w:fldChar w:fldCharType="separate"/>
      </w:r>
      <w:r w:rsidR="004D5029">
        <w:rPr>
          <w:noProof/>
        </w:rPr>
        <w:t>1</w:t>
      </w:r>
      <w:r w:rsidR="0027659D">
        <w:rPr>
          <w:noProof/>
        </w:rPr>
        <w:fldChar w:fldCharType="end"/>
      </w:r>
      <w:bookmarkEnd w:id="17"/>
      <w:r w:rsidR="002D7CD2" w:rsidRPr="00D86888">
        <w:t>)</w:t>
      </w:r>
      <w:bookmarkStart w:id="18" w:name="_Ref510967472"/>
    </w:p>
    <w:bookmarkEnd w:id="18"/>
    <w:p w14:paraId="62FBA3FD" w14:textId="1A456F59" w:rsidR="00EA1D1B" w:rsidRPr="00D86888" w:rsidRDefault="00573DE3" w:rsidP="00573DE3">
      <w:r w:rsidRPr="00D86888">
        <w:t>The scaffold density was calculated by dividing the measured weight (Digital scale, Mettler Toledo MX5; Mason Technology, Dublin, Accuracy 0.01 mg) by the volume, using an average of two diameter and height measurements per scaffold (Vernier callipers, Krunstoffwerke; Radionics, Dublin, Ireland). The theoretical density of collagen and bioactive glass used were 1.3 and 2.7, respectively</w:t>
      </w:r>
      <w:r w:rsidR="000D1E35" w:rsidRPr="00D86888">
        <w:t xml:space="preserve"> </w:t>
      </w:r>
      <w:r w:rsidR="000D1E35" w:rsidRPr="00D86888">
        <w:fldChar w:fldCharType="begin" w:fldLock="1"/>
      </w:r>
      <w:r w:rsidR="0045705E">
        <w:instrText>ADDIN CSL_CITATION {"citationItems":[{"id":"ITEM-1","itemData":{"DOI":"10.1002/jbm.0000","author":[{"dropping-particle":"","family":"Speulveda","given":"Pilar","non-dropping-particle":"","parse-names":false,"suffix":""},{"dropping-particle":"","family":"Jones","given":"Juian R.","non-dropping-particle":"","parse-names":false,"suffix":""},{"dropping-particle":"","family":"Hench","given":"Larry L.","non-dropping-particle":"","parse-names":false,"suffix":""}],"container-title":"Journal of Biomedical Materials Research","id":"ITEM-1","issued":{"date-parts":[["2001"]]},"page":"564-569","title":"Characterization of melt-derived 45S5 and sol-gel-derived 58S bioactive glasses","type":"article-journal"},"uris":["http://www.mendeley.com/documents/?uuid=b9c52393-6984-4b51-96b9-7680687422a7"]},{"id":"ITEM-2","itemData":{"DOI":"10.1002/jbm.820140108","ISSN":"0021-9304","PMID":"6987234","abstract":"Individuals who suffer extensive loss of skin, commonly in fires, are acutely ill, in danger of succumbing either to massive infection of to severe fluid loss. Patients who survive these early threats must often cope with problems of rehabilitation arising from deep, disfiguring scars and crippling contractures. In this report we describe the physiocochemical, biochemical, and mechanical considerations that form the basis for two-stage design of a membrane useful as an experimental wound closure. Stage I of the design, applicable to short-term acute use, calls for a membrane which displaces efficiently air pockets from a carefully prepared woundbed, free of weak boundary layers, and maintains the moisture flux through the wound at an optimal level. Optimization of the surface energy, modulus of elasticity, energy to fracture and moisture permeability of the membrane are among the essential attributes of Stage I design. Stage 2 of the design, applicable to long-term, chronic use, focuses on a nonantigenic membrane which performs as a biodegradable template for synthesis of neodermal tissue. A survey of candidate materials suggests reasons for selection of a porous, crosslinked collagen-glycosaminoglycan coprecipitate as the chemical basis of an evolving design which was initiated 10 years ago. Over the past several years a set of membranes has been iteratively designed on this basis and has been used to cover satisfactorily large experimental full-thickness skin wounds in guinea pigs. Such membranes have effectively protected these wounds from infection and fluid loss for over 25 days without rejection and without requiring change or other invasive manipulation. When appropriately designed for the purpose, the membranes have also strongly retarded wound contraction and have become replaced by newly synthesized, stable connective tissue. Several rules relating the molecular structure and morphology of these membranes to cellular response of adjacent tissue have also been derived. This report is the first in a series which details the methodology of preparation and the record of performance.","author":[{"dropping-particle":"V.","family":"Yannas","given":"I.","non-dropping-particle":"","parse-names":false,"suffix":""},{"dropping-particle":"","family":"Burke","given":"John F.","non-dropping-particle":"","parse-names":false,"suffix":""}],"container-title":"Journal of Biomedical Materials Research","id":"ITEM-2","issue":"1","issued":{"date-parts":[["1980"]]},"page":"65-81","title":"Design of an artificial skin. I. Basic design principles","type":"article-journal","volume":"14"},"uris":["http://www.mendeley.com/documents/?uuid=4fb2a2fc-c960-3025-8c67-4b20b2b6e3fc"]}],"mendeley":{"formattedCitation":"[41,42]","plainTextFormattedCitation":"[41,42]","previouslyFormattedCitation":"[41,42]"},"properties":{"noteIndex":0},"schema":"https://github.com/citation-style-language/schema/raw/master/csl-citation.json"}</w:instrText>
      </w:r>
      <w:r w:rsidR="000D1E35" w:rsidRPr="00D86888">
        <w:fldChar w:fldCharType="separate"/>
      </w:r>
      <w:r w:rsidR="00907868" w:rsidRPr="00907868">
        <w:rPr>
          <w:noProof/>
        </w:rPr>
        <w:t>[41,42]</w:t>
      </w:r>
      <w:r w:rsidR="000D1E35" w:rsidRPr="00D86888">
        <w:fldChar w:fldCharType="end"/>
      </w:r>
      <w:r w:rsidR="000D1E35" w:rsidRPr="00D86888">
        <w:t>.</w:t>
      </w:r>
      <w:r w:rsidRPr="00D86888">
        <w:t xml:space="preserve"> For scaffold pore size analysis, scaffolds were sectioned longitudinally and SEM images of all scaffolds were captured at 150X. The mean pore diameter was analysed using Image J. Briefly, for each pore selected at random, the maximum diameter and the diameter perpendicular to the maximum were aver</w:t>
      </w:r>
      <w:r w:rsidR="000D1E35" w:rsidRPr="00D86888">
        <w:t xml:space="preserve">aged and the mean pore diameter </w:t>
      </w:r>
      <w:r w:rsidRPr="00D86888">
        <w:t>calculated from these values (n=30 pores per group).</w:t>
      </w:r>
    </w:p>
    <w:p w14:paraId="6ACF1246" w14:textId="77777777" w:rsidR="00EA1D1B" w:rsidRPr="00D86888" w:rsidRDefault="00573DE3" w:rsidP="003C5B0C">
      <w:pPr>
        <w:pStyle w:val="Heading4"/>
      </w:pPr>
      <w:bookmarkStart w:id="19" w:name="_Toc510971223"/>
      <w:r w:rsidRPr="00D86888">
        <w:lastRenderedPageBreak/>
        <w:t>Effect of bioactive glass addition on scaffold mechanical properties</w:t>
      </w:r>
      <w:bookmarkEnd w:id="19"/>
    </w:p>
    <w:p w14:paraId="24FD00D1" w14:textId="5FAE2E05" w:rsidR="00573DE3" w:rsidRPr="00D86888" w:rsidRDefault="00573DE3" w:rsidP="00573DE3">
      <w:r w:rsidRPr="00D86888">
        <w:t>In order to investigate the effect of bioactive glass addition on scaffold compressive modulus, unconfined, wet compression testing of the scaffolds was performed using a uniaxial tensile test</w:t>
      </w:r>
      <w:r w:rsidR="002D7CD2" w:rsidRPr="00D86888">
        <w:t xml:space="preserve">ing machine (Z050, Zwick/Roell, </w:t>
      </w:r>
      <w:r w:rsidRPr="00D86888">
        <w:t>Germany) fitted with a 5 N load cell</w:t>
      </w:r>
      <w:r w:rsidR="000D1E35" w:rsidRPr="00D86888">
        <w:t xml:space="preserve"> </w:t>
      </w:r>
      <w:r w:rsidR="000D1E35" w:rsidRPr="00D86888">
        <w:fldChar w:fldCharType="begin" w:fldLock="1"/>
      </w:r>
      <w:r w:rsidR="0045705E">
        <w:instrText>ADDIN CSL_CITATION {"citationItems":[{"id":"ITEM-1","itemData":{"DOI":"10.1002/jbm.a.31955","ISBN":"1549-3296","ISSN":"15493296","PMID":"18431763","abstract":"The mechanical properties of tissue engineering scaffolds are critical for preserving the structural integrity and functionality during both in vivo implantation and long-term performance. In addition, the mechanical and structural properties of the scaffold can direct cellular activity within a tissue-engineered construct. In this context, the aim of this study was to investigate the effects of dehydrothermal (DHT) treatment on the mechanical and structural properties of collagen-glycosaminoglycan (CG) scaffolds. Temperature (105-180 degrees C) and exposure period (24-120 h) of DHT treatment were varied to determine their effect on the mechanical properties, crosslinking density, and denaturation of CG scaffolds. As expected, increasing the temperature and duration of DHT treatment resulted in an increase in the mechanical properties. Compressive properties increased up to twofold, while tensile properties increased up to 3.8-fold. Crosslink density was found to increase with DHT temperature but not exposure period. Denaturation also increased with DHT temperature and exposure period, ranging from 25% to 60% denaturation. Crosslink density was found to be correlated with compressive modulus, whilst denaturation was found to correlate with tensile modulus. Taken together, these results indicate that DHT treatment is a viable technique for altering the mechanical properties of CG scaffolds. The enhanced mechanical properties of DHT-treated CG scaffolds improve their suitability for use both in vitro and in vivo. In addition, this work facilitates the investigation of the effects of mechanical properties and denaturation on cell activity in a 3D environment.","author":[{"dropping-particle":"","family":"Haugh","given":"Matthew G.","non-dropping-particle":"","parse-names":false,"suffix":""},{"dropping-particle":"","family":"Jaasma","given":"Michael J.","non-dropping-particle":"","parse-names":false,"suffix":""},{"dropping-particle":"","family":"O'Brien","given":"Fergal J.","non-dropping-particle":"","parse-names":false,"suffix":""}],"container-title":"Journal of Biomedical Materials Research - Part A","id":"ITEM-1","issue":"2","issued":{"date-parts":[["2009"]]},"page":"363-369","title":"The effect of dehydrothermal treatment on the mechanical and structural properties of collagen-GAG scaffolds","type":"article-journal","volume":"89"},"uris":["http://www.mendeley.com/documents/?uuid=41087d4b-466b-4e40-b1b7-0e1f625e9c8f"]}],"mendeley":{"formattedCitation":"[39]","plainTextFormattedCitation":"[39]","previouslyFormattedCitation":"[39]"},"properties":{"noteIndex":0},"schema":"https://github.com/citation-style-language/schema/raw/master/csl-citation.json"}</w:instrText>
      </w:r>
      <w:r w:rsidR="000D1E35" w:rsidRPr="00D86888">
        <w:fldChar w:fldCharType="separate"/>
      </w:r>
      <w:r w:rsidR="00907868" w:rsidRPr="00907868">
        <w:rPr>
          <w:noProof/>
        </w:rPr>
        <w:t>[39]</w:t>
      </w:r>
      <w:r w:rsidR="000D1E35" w:rsidRPr="00D86888">
        <w:fldChar w:fldCharType="end"/>
      </w:r>
      <w:r w:rsidRPr="00D86888">
        <w:t>. Scaffolds were pre-hydrated in PBS and tested at a rate of 10% strain/minute up to a maximum strain of 10%. The compressive modulus of the scaffolds was calculated in the 2-5% strain range (n=5 scaffolds, 3 repeats per scaffold).</w:t>
      </w:r>
    </w:p>
    <w:p w14:paraId="19150F4B" w14:textId="77777777" w:rsidR="00EA1D1B" w:rsidRPr="00D86888" w:rsidRDefault="00573DE3" w:rsidP="003C5B0C">
      <w:pPr>
        <w:pStyle w:val="Heading3"/>
        <w:numPr>
          <w:ilvl w:val="1"/>
          <w:numId w:val="23"/>
        </w:numPr>
      </w:pPr>
      <w:bookmarkStart w:id="20" w:name="_Toc510971224"/>
      <w:r w:rsidRPr="00D86888">
        <w:t>Antibacterial characterisation of bioactive glass scaffolds</w:t>
      </w:r>
      <w:bookmarkEnd w:id="20"/>
    </w:p>
    <w:p w14:paraId="57F88105" w14:textId="77777777" w:rsidR="00573DE3" w:rsidRPr="00D86888" w:rsidRDefault="00573DE3" w:rsidP="003C5B0C">
      <w:pPr>
        <w:pStyle w:val="Heading4"/>
      </w:pPr>
      <w:bookmarkStart w:id="21" w:name="_Toc510971225"/>
      <w:r w:rsidRPr="00D86888">
        <w:t>Cu</w:t>
      </w:r>
      <w:r w:rsidRPr="00D86888">
        <w:rPr>
          <w:vertAlign w:val="superscript"/>
        </w:rPr>
        <w:t>2+</w:t>
      </w:r>
      <w:r w:rsidRPr="00D86888">
        <w:t xml:space="preserve"> ion release from bioactive glass scaffolds</w:t>
      </w:r>
      <w:bookmarkEnd w:id="21"/>
    </w:p>
    <w:p w14:paraId="737A6F4F" w14:textId="77777777" w:rsidR="00573DE3" w:rsidRPr="00D86888" w:rsidRDefault="00573DE3" w:rsidP="00573DE3">
      <w:r w:rsidRPr="00D86888">
        <w:t>Scaffolds (n=3) were incubated in 1 ml deionised water at 37°C. The eluate was collected at days 1, 3, and 7. The copper ion content was measured using a Copper Assay Kit. All samples and standards were run in triplicate.</w:t>
      </w:r>
    </w:p>
    <w:p w14:paraId="3B0D2961" w14:textId="77777777" w:rsidR="00573DE3" w:rsidRPr="00D86888" w:rsidRDefault="00573DE3" w:rsidP="003C5B0C">
      <w:pPr>
        <w:pStyle w:val="Heading4"/>
      </w:pPr>
      <w:bookmarkStart w:id="22" w:name="_Toc510971226"/>
      <w:r w:rsidRPr="00D86888">
        <w:t>Antibacterial activity in broth up to 7 days</w:t>
      </w:r>
      <w:bookmarkEnd w:id="22"/>
    </w:p>
    <w:p w14:paraId="02F93580" w14:textId="77777777" w:rsidR="00573DE3" w:rsidRPr="00D86888" w:rsidRDefault="00573DE3" w:rsidP="00573DE3">
      <w:r w:rsidRPr="00D86888">
        <w:t>In order to assess antibacterial activity, the scaffolds were added to Brain Heart Infusion (BHI) broth (n=3) and incubated at 37°C. At day 1, 3, and 7 scaffolds were removed and 5x10</w:t>
      </w:r>
      <w:r w:rsidRPr="00D86888">
        <w:rPr>
          <w:vertAlign w:val="superscript"/>
        </w:rPr>
        <w:t>5</w:t>
      </w:r>
      <w:r w:rsidRPr="00D86888">
        <w:t xml:space="preserve"> CFU/ml of </w:t>
      </w:r>
      <w:r w:rsidRPr="00D86888">
        <w:rPr>
          <w:i/>
        </w:rPr>
        <w:t>S. aureus</w:t>
      </w:r>
      <w:r w:rsidRPr="00D86888">
        <w:t xml:space="preserve"> were added to the eluate. The solutions were incubated for a further 24 hours and the percentage bacterial growth was quantified as described above. Positive and negative bacterial growth controls (+/- </w:t>
      </w:r>
      <w:r w:rsidRPr="00D86888">
        <w:rPr>
          <w:i/>
        </w:rPr>
        <w:t>S. aureus</w:t>
      </w:r>
      <w:r w:rsidRPr="00D86888">
        <w:t>) were used.</w:t>
      </w:r>
    </w:p>
    <w:p w14:paraId="2D861903" w14:textId="77777777" w:rsidR="00573DE3" w:rsidRPr="00D86888" w:rsidRDefault="00CD1BBF" w:rsidP="003C5B0C">
      <w:pPr>
        <w:pStyle w:val="Heading4"/>
      </w:pPr>
      <w:bookmarkStart w:id="23" w:name="_Toc510971227"/>
      <w:r w:rsidRPr="00D86888">
        <w:t>Time-kill assay</w:t>
      </w:r>
      <w:bookmarkEnd w:id="23"/>
    </w:p>
    <w:p w14:paraId="0C7A53B3" w14:textId="77777777" w:rsidR="00CD1BBF" w:rsidRPr="00D86888" w:rsidRDefault="00CD1BBF" w:rsidP="00CD1BBF">
      <w:r w:rsidRPr="00D86888">
        <w:t xml:space="preserve">A time-kill assay was performed to determine the effect of the scaffolds on the growth rate of </w:t>
      </w:r>
      <w:r w:rsidRPr="00D86888">
        <w:rPr>
          <w:i/>
        </w:rPr>
        <w:t>S. aureus</w:t>
      </w:r>
      <w:r w:rsidRPr="00D86888">
        <w:t xml:space="preserve">. Scaffolds were added to 1 ml Brain Heart Infusion (BHI) broth (n=3) in 24-well plates and 5x105 CFU/ml of </w:t>
      </w:r>
      <w:r w:rsidRPr="00D86888">
        <w:rPr>
          <w:i/>
        </w:rPr>
        <w:t>S. aureus</w:t>
      </w:r>
      <w:r w:rsidRPr="00D86888">
        <w:t xml:space="preserve"> Newman were added. The plates were incubated in a shaker (150 rpm, 37°C) and the optical density was measured (with scaffolds temporarily removed) using a plate reader every hour over 24 hours.</w:t>
      </w:r>
    </w:p>
    <w:p w14:paraId="5DFA07CF" w14:textId="77777777" w:rsidR="001F2323" w:rsidRPr="00D86888" w:rsidRDefault="00CD1BBF" w:rsidP="003C5B0C">
      <w:pPr>
        <w:pStyle w:val="Heading3"/>
        <w:numPr>
          <w:ilvl w:val="1"/>
          <w:numId w:val="23"/>
        </w:numPr>
      </w:pPr>
      <w:bookmarkStart w:id="24" w:name="_Toc510971228"/>
      <w:r w:rsidRPr="00D86888">
        <w:t>Biological characterisation of bioactive glass scaffolds</w:t>
      </w:r>
      <w:r w:rsidR="00003273" w:rsidRPr="00D86888">
        <w:t xml:space="preserve"> - </w:t>
      </w:r>
      <w:r w:rsidR="00C91361" w:rsidRPr="00D86888">
        <w:t>Analysis of osteogenesis</w:t>
      </w:r>
      <w:bookmarkEnd w:id="24"/>
    </w:p>
    <w:p w14:paraId="5C0A8B28" w14:textId="77777777" w:rsidR="00C91361" w:rsidRPr="00D86888" w:rsidRDefault="00C91361" w:rsidP="003C5B0C">
      <w:pPr>
        <w:pStyle w:val="Heading4"/>
      </w:pPr>
      <w:bookmarkStart w:id="25" w:name="_Toc510971229"/>
      <w:r w:rsidRPr="00D86888">
        <w:t>Cell culture and seeding</w:t>
      </w:r>
      <w:bookmarkEnd w:id="25"/>
    </w:p>
    <w:p w14:paraId="1B895A25" w14:textId="77777777" w:rsidR="00C91361" w:rsidRPr="00D86888" w:rsidRDefault="00C91361" w:rsidP="00C91361">
      <w:r w:rsidRPr="00D86888">
        <w:t xml:space="preserve">To assess the ability of the bioactive glass scaffolds to support osteogenesis, MC3T3-E1 cells were cultured in growth medium consisting of Alpha Minimum Essential Medium (α-MEM) supplemented with 10% Foetal Bovine Serum (FBS) (Labtech, UK), 2% penicillin/streptomycin, and 1% L-Glutamine. All scaffolds were seeded with 500,000 cells </w:t>
      </w:r>
      <w:r w:rsidRPr="00D86888">
        <w:lastRenderedPageBreak/>
        <w:t>and were cultured in growth medium for the first two days prior to supplementation with osteogenic medium. For MC3T3-E1 osteogenic medium, the following supplements were added to the above described growth medium: 50 μM ascorbic acid 2-P, 100 nM dexamethasone, and 10 mM β-glycerophosphate.</w:t>
      </w:r>
      <w:r w:rsidR="008E25F7" w:rsidRPr="00D86888">
        <w:t xml:space="preserve"> </w:t>
      </w:r>
      <w:r w:rsidRPr="00D86888">
        <w:t>All cells were cultured under standard culture conditions (37°C, 5% C02, and 95% relative humidity).</w:t>
      </w:r>
    </w:p>
    <w:p w14:paraId="7F540465" w14:textId="77777777" w:rsidR="00C91361" w:rsidRPr="00D86888" w:rsidRDefault="00C07B92" w:rsidP="003C5B0C">
      <w:pPr>
        <w:pStyle w:val="Heading4"/>
      </w:pPr>
      <w:bookmarkStart w:id="26" w:name="_Toc510971230"/>
      <w:r w:rsidRPr="00D86888">
        <w:t>DNA quantification</w:t>
      </w:r>
      <w:bookmarkEnd w:id="26"/>
    </w:p>
    <w:p w14:paraId="5539976B" w14:textId="77777777" w:rsidR="00C07B92" w:rsidRPr="00D86888" w:rsidRDefault="00C07B92" w:rsidP="00C07B92">
      <w:r w:rsidRPr="00D86888">
        <w:t>DNA, as an indicator of cell number and survival, was quantified using a Quant-iT™ PicoGreen™ dsDNA Assay Kit (Molecular Probes, USA). Three scaffolds per group (n=3) at each time point (days 0, 7, 14, and 28) were washed twice in PBS, added to 1 ml lysis buffer (0.2 M carbonate buffer with 1% Triton), and the scaffold solutions were subjected to three freeze-thaw cycles at -80°C to assist in cell lysis. The resulting lysate was analysed for DNA content as per the manufacturer’s instructions. The background reading obtained from cell-free control scaffolds cultured under identical conditions to the test samples was subtracted from cell-seeded sample readings.</w:t>
      </w:r>
    </w:p>
    <w:p w14:paraId="1D72C01C" w14:textId="77777777" w:rsidR="00C91361" w:rsidRPr="00D86888" w:rsidRDefault="00C07B92" w:rsidP="003C5B0C">
      <w:pPr>
        <w:pStyle w:val="Heading4"/>
      </w:pPr>
      <w:bookmarkStart w:id="27" w:name="_Toc510971231"/>
      <w:r w:rsidRPr="00D86888">
        <w:t>Cell-mediated mineralisation</w:t>
      </w:r>
      <w:bookmarkEnd w:id="27"/>
    </w:p>
    <w:p w14:paraId="5640BCA6" w14:textId="77777777" w:rsidR="00C07B92" w:rsidRPr="00D86888" w:rsidRDefault="00C07B92" w:rsidP="00C07B92">
      <w:r w:rsidRPr="00D86888">
        <w:t>Cell-mediated calcium production was quantified using a Calcium (CPC) LiquiColor™ test (Stanbio, Ireland). Three scaffolds per group (n=3) at day 14 and 28 were added to 1 ml of 0.5 M hydrochloric acid. Samples were left shaking overnight at 4°C before performing the assay as per the manufacturer’s instructions. As the bioactive glass samples inherently contain calcium, the background reading – obtained from cell-free control</w:t>
      </w:r>
      <w:r w:rsidR="008E25F7" w:rsidRPr="00D86888">
        <w:t xml:space="preserve"> </w:t>
      </w:r>
      <w:r w:rsidRPr="00D86888">
        <w:t>scaffolds cultured under identical conditions to the test samples – was subtracted from the sample readings. Alizarin red staining was performed to assess the distribution of cell-mediated calcium distribution. Briefly, scaffolds were fixed in 10% paraformaldehyde, embedded in paraffin wax, and sectioned using a microtome (Leica RM 2255, Leica, Germany) to 5 μm thick slices. Sections were placed on glass slides, de-paraffinised to distilled water, stained using 2% alizarin red solution for 2 mins, washed with deionised water, and mounted with DPX solution before adding a coverslip. Sections were imaged using a digital microscope (Nikon Eclipse 90i, Nikon Instruments Europe).</w:t>
      </w:r>
    </w:p>
    <w:p w14:paraId="0C921B47" w14:textId="77777777" w:rsidR="00C91361" w:rsidRPr="00D86888" w:rsidRDefault="00B77018" w:rsidP="003C5B0C">
      <w:pPr>
        <w:pStyle w:val="Heading3"/>
        <w:numPr>
          <w:ilvl w:val="1"/>
          <w:numId w:val="23"/>
        </w:numPr>
      </w:pPr>
      <w:bookmarkStart w:id="28" w:name="_Toc510971232"/>
      <w:r w:rsidRPr="00D86888">
        <w:t xml:space="preserve">Biological characterisation of bioactive glass scaffolds - Analysis of </w:t>
      </w:r>
      <w:r w:rsidR="002F1D24" w:rsidRPr="00D86888">
        <w:t>angiogenesis</w:t>
      </w:r>
      <w:bookmarkEnd w:id="28"/>
    </w:p>
    <w:p w14:paraId="5C2D26A4" w14:textId="77777777" w:rsidR="00C91361" w:rsidRPr="00D86888" w:rsidRDefault="002F1D24" w:rsidP="003C5B0C">
      <w:pPr>
        <w:pStyle w:val="Heading4"/>
      </w:pPr>
      <w:bookmarkStart w:id="29" w:name="_Toc510971233"/>
      <w:r w:rsidRPr="00D86888">
        <w:t>Cell culture and seeding</w:t>
      </w:r>
      <w:bookmarkEnd w:id="29"/>
    </w:p>
    <w:p w14:paraId="4B305617" w14:textId="5D5B1FCA" w:rsidR="002F1D24" w:rsidRPr="00D86888" w:rsidRDefault="002F1D24" w:rsidP="002F1D24">
      <w:r w:rsidRPr="00D86888">
        <w:t xml:space="preserve">Angiogenesis was assessed using Human Umbilical Vein Endothelial Cells (HUVECs) and Rat Mesenchymal Stem cells (rMSCs). HUVECs were cultured in EndoGRO complete culture </w:t>
      </w:r>
      <w:r w:rsidRPr="00D86888">
        <w:lastRenderedPageBreak/>
        <w:t>medium (SCME002, Merck Millipore) and rMSCs were cultured in high-glucose DMEM (D5671) medium supplemented with 10% FBS, 2% penicillin/streptomycin, 1% Glutamax, and 1% Non-Essential Amino Acids (Biosciences, Ireland) and 1% L</w:t>
      </w:r>
      <w:r w:rsidR="0086452C">
        <w:t>-</w:t>
      </w:r>
      <w:r w:rsidRPr="00D86888">
        <w:t>Glutamine.</w:t>
      </w:r>
      <w:r w:rsidR="008E25F7" w:rsidRPr="00D86888">
        <w:t xml:space="preserve"> </w:t>
      </w:r>
      <w:r w:rsidRPr="00D86888">
        <w:t>All cells were cultured under standard culture conditions (37°C, 5% C02, and 95% relative humidity).</w:t>
      </w:r>
    </w:p>
    <w:p w14:paraId="18639B81" w14:textId="77777777" w:rsidR="002F1D24" w:rsidRPr="00D86888" w:rsidRDefault="002F1D24" w:rsidP="003C5B0C">
      <w:pPr>
        <w:pStyle w:val="Heading4"/>
      </w:pPr>
      <w:bookmarkStart w:id="30" w:name="_Toc510971234"/>
      <w:r w:rsidRPr="00D86888">
        <w:t>Matrigel assay</w:t>
      </w:r>
      <w:bookmarkEnd w:id="30"/>
    </w:p>
    <w:p w14:paraId="405173F6" w14:textId="77777777" w:rsidR="002F1D24" w:rsidRPr="00D86888" w:rsidRDefault="002F1D24" w:rsidP="002F1D24">
      <w:r w:rsidRPr="00D86888">
        <w:t>The ability of the eluate from the copper-doped bioactive glass scaffolds to support tubule formation was assessed using a Matrigel® assay. Cell-free scaffolds (n=3) were placed in 1 ml of endothelial medium and incubated at 37°C under standard cell culture conditions. The eluate from the scaffolds was collected at day 1, 3, and 7 and stored at -80°C until use. Matrigel® basement membrane matrix (Corning, USA) was added to 24-well plates (120 μl/well) and the plates were incubated for 30 mins at 37°C. HUVECs were seeded at 30,000 cells/well and 1 ml of the medium eluate was added. At 36 hours the Matrigel cultures were imaged using a digital microscope (Le</w:t>
      </w:r>
      <w:r w:rsidR="00714B87" w:rsidRPr="00D86888">
        <w:t>ica</w:t>
      </w:r>
      <w:r w:rsidRPr="00D86888">
        <w:t xml:space="preserve"> DMIL, Le</w:t>
      </w:r>
      <w:r w:rsidR="00714B87" w:rsidRPr="00D86888">
        <w:t>ica</w:t>
      </w:r>
      <w:r w:rsidRPr="00D86888">
        <w:t xml:space="preserve"> microsystems). Three images per well were captured at 10X magnification and images were analysed for total tubule length using ImageJ software and an in-house developed plug-in.</w:t>
      </w:r>
    </w:p>
    <w:p w14:paraId="0FDA84E1" w14:textId="77777777" w:rsidR="002F1D24" w:rsidRPr="00D86888" w:rsidRDefault="002F1D24" w:rsidP="003C5B0C">
      <w:pPr>
        <w:pStyle w:val="Heading4"/>
      </w:pPr>
      <w:bookmarkStart w:id="31" w:name="_Toc510971235"/>
      <w:r w:rsidRPr="00D86888">
        <w:t>VEGF protein production</w:t>
      </w:r>
      <w:bookmarkEnd w:id="31"/>
    </w:p>
    <w:p w14:paraId="4D285D6A" w14:textId="77777777" w:rsidR="00907325" w:rsidRPr="00D86888" w:rsidRDefault="002F1D24" w:rsidP="002F1D24">
      <w:r w:rsidRPr="00D86888">
        <w:t>Cell-free scaffolds (n=3) were placed in 2ml of cell culture medium and incubated at 37°C under standard cell culture conditions. rMSCs were seeded in 6-well plates (n=3) at a density of 50,000 cells/well. 2 ml of eluate</w:t>
      </w:r>
      <w:r w:rsidR="008E25F7" w:rsidRPr="00D86888">
        <w:t xml:space="preserve"> </w:t>
      </w:r>
      <w:r w:rsidRPr="00D86888">
        <w:t>from the scaffolds was collected at day 1, 3, and 5 and added directly to the rMSCs. At day 7 the cell culture medium was harvested and analysed for VEGF protein production using ELISA (R&amp;D Systems, USA). 1 ml of lysis buffer was then added to the wells and DNA was quantified as previously described. A cell-only control using regular rMSC growth medium was used.</w:t>
      </w:r>
    </w:p>
    <w:p w14:paraId="7B73536C" w14:textId="4ED14311" w:rsidR="003C3440" w:rsidRPr="00E04F71" w:rsidRDefault="003C3440" w:rsidP="003C3440">
      <w:pPr>
        <w:pStyle w:val="Heading3"/>
        <w:numPr>
          <w:ilvl w:val="1"/>
          <w:numId w:val="23"/>
        </w:numPr>
      </w:pPr>
      <w:r>
        <w:t>Analysis of c</w:t>
      </w:r>
      <w:r w:rsidRPr="00E04F71">
        <w:t xml:space="preserve">opper-doped bioactive glass scaffolds </w:t>
      </w:r>
      <w:r>
        <w:t>on</w:t>
      </w:r>
      <w:r w:rsidRPr="003C3440">
        <w:t xml:space="preserve"> osteo- and</w:t>
      </w:r>
      <w:r w:rsidRPr="00E04F71">
        <w:t xml:space="preserve"> angiogenesis in </w:t>
      </w:r>
      <w:r w:rsidRPr="003C3440">
        <w:t>a chick embryo ex ovo model</w:t>
      </w:r>
    </w:p>
    <w:p w14:paraId="7F41FCAE" w14:textId="417EF2CD" w:rsidR="00C65A7D" w:rsidRPr="00D86888" w:rsidRDefault="00C65A7D" w:rsidP="00C65A7D">
      <w:r w:rsidRPr="00661DFD">
        <w:t>Here, we utilise a</w:t>
      </w:r>
      <w:r w:rsidR="0086452C" w:rsidRPr="00661DFD">
        <w:t>n established in vivo model</w:t>
      </w:r>
      <w:r w:rsidR="006F502C" w:rsidRPr="00661DFD">
        <w:t xml:space="preserve"> – the ex ovo or shell-less chicken embryo model – to further demonstrate the </w:t>
      </w:r>
      <w:r w:rsidRPr="00661DFD">
        <w:t>therapeutic effect of the bioactive glass scaffolds previously tested in vitro</w:t>
      </w:r>
      <w:r w:rsidR="00E02623">
        <w:t xml:space="preserve"> </w:t>
      </w:r>
      <w:r w:rsidR="00E02623" w:rsidRPr="00D86888">
        <w:fldChar w:fldCharType="begin" w:fldLock="1"/>
      </w:r>
      <w:r w:rsidR="0045705E">
        <w:instrText>ADDIN CSL_CITATION {"citationItems":[{"id":"ITEM-1","itemData":{"DOI":"10.3109/10520297609116684","ISSN":"00389153","author":[{"dropping-particle":"","family":"Wassersug","given":"R J","non-dropping-particle":"","parse-names":false,"suffix":""}],"container-title":"Stain Technology","id":"ITEM-1","issue":"2","issued":{"date-parts":[["1976"]]},"page":"131-134","title":"A procedure for differential staining of cartilage and bone in whole, formalin fixed vertebrates","type":"article-journal","volume":"51"},"uris":["http://www.mendeley.com/documents/?uuid=84800b0f-8b37-43b6-84f7-d0a1d455b0f9"]},{"id":"ITEM-2","itemData":{"DOI":"10.1002/aja.1001950404","ISSN":"10588388","author":[{"dropping-particle":"","family":"Hamburger","given":"Viktor","non-dropping-particle":"","parse-names":false,"suffix":""},{"dropping-particle":"","family":"Hamilton","given":"Howard L.","non-dropping-particle":"","parse-names":false,"suffix":""}],"container-title":"Developmental Dynamics","id":"ITEM-2","issue":"4","issued":{"date-parts":[["1992"]]},"page":"231-272","publisher":"Wiley-Blackwell","title":"A series of normal stages in the development of the chick embryo","type":"article-journal","volume":"195"},"uris":["http://www.mendeley.com/documents/?uuid=4943a6e1-a3d3-3e11-8ca1-6d91d9c1291f"]},{"id":"ITEM-3","itemData":{"DOI":"10.1002/dvdy.20454","ISSN":"1058-8388","author":[{"dropping-particle":"","family":"Luo","given":"Jiankai","non-dropping-particle":"","parse-names":false,"suffix":""},{"dropping-particle":"","family":"Redies","given":"Christoph","non-dropping-particle":"","parse-names":false,"suffix":""}],"container-title":"Developmental Dynamics","id":"ITEM-3","issue":"4","issued":{"date-parts":[["2005"]]},"page":"1470-1477","publisher":"Wiley-Blackwell","title":"Ex ovo electroporation for gene transfer into older chicken embryos","type":"article-journal","volume":"233"},"uris":["http://www.mendeley.com/documents/?uuid=9c494b61-9930-3e31-9ab9-9d76213f0545"]},{"id":"ITEM-4","itemData":{"DOI":"10.1016/j.actbio.2008.07.016","ISSN":"17427061","PMID":"18706880","abstract":"The aim of the present study was to evaluate the biocompatibility and bone mineralization potential of 45S5 Bioglass®-derived glass-ceramic scaffolds using a chick embryo shell-less (ex ovo) culture system. Chick embryos were divided into two groups: control (C) and experimental (E). Scaffolds were placed on the chorioallantoic membrane (CAM) in embryos of group E at 10 days of total incubation. The 45S5 Bioglass®-derived glass-ceramic scaffolds proved to be biocompatible in terms of the absence of inflammatory response at the implant site (CAM). Moreover, no alterations in the other end-points assessed, i.e. survival, stage of embryonic development and body weight, were detected. However, body length was greater in group E embryos than in group C embryos (p ≤ 0.05). A marked reduction (93%) in Ca content in the scaffolds was evidenced by energy-dispersive X-ray analysis at 5 days post-implantation. Calcium release from the scaffold implanted on the CAM might have been responsible for the restoration of the bone-like phenotype in chick embryonic skeleton of group E as detected by Alcian blue-Alizarin red double staining, as well as by histological and microchemical analyses. Conversely, the control embryos exhibited a chondrogenic phenotype. © 2008 Acta Materialia Inc.","author":[{"dropping-particle":"","family":"Vargas","given":"Gabriela E.","non-dropping-particle":"","parse-names":false,"suffix":""},{"dropping-particle":"","family":"Mesones","given":"Rosa Vera","non-dropping-particle":"","parse-names":false,"suffix":""},{"dropping-particle":"","family":"Bretcanu","given":"Oana","non-dropping-particle":"","parse-names":false,"suffix":""},{"dropping-particle":"","family":"López","given":"José M Porto","non-dropping-particle":"","parse-names":false,"suffix":""},{"dropping-particle":"","family":"Boccaccini","given":"Aldo R.","non-dropping-particle":"","parse-names":false,"suffix":""},{"dropping-particle":"","family":"Gorustovich","given":"Alejandro","non-dropping-particle":"","parse-names":false,"suffix":""}],"container-title":"Acta Biomaterialia","id":"ITEM-4","issue":"1","issued":{"date-parts":[["2009"]]},"page":"374-380","title":"Biocompatibility and bone mineralization potential of 45S5 Bioglass®-derived glass-ceramic scaffolds in chick embryos","type":"article-journal","volume":"5"},"uris":["http://www.mendeley.com/documents/?uuid=10cc6a3f-0cf8-465f-aeda-75ca0d148420"]}],"mendeley":{"formattedCitation":"[43–46]","plainTextFormattedCitation":"[43–46]","previouslyFormattedCitation":"[43–46]"},"properties":{"noteIndex":0},"schema":"https://github.com/citation-style-language/schema/raw/master/csl-citation.json"}</w:instrText>
      </w:r>
      <w:r w:rsidR="00E02623" w:rsidRPr="00D86888">
        <w:fldChar w:fldCharType="separate"/>
      </w:r>
      <w:r w:rsidR="00E02623" w:rsidRPr="00E02623">
        <w:rPr>
          <w:noProof/>
        </w:rPr>
        <w:t>[43–46]</w:t>
      </w:r>
      <w:r w:rsidR="00E02623" w:rsidRPr="00D86888">
        <w:fldChar w:fldCharType="end"/>
      </w:r>
      <w:r w:rsidRPr="00661DFD">
        <w:t>.</w:t>
      </w:r>
      <w:r w:rsidR="00661DFD" w:rsidRPr="00661DFD">
        <w:t xml:space="preserve"> </w:t>
      </w:r>
      <w:r w:rsidRPr="00661DFD">
        <w:t>The</w:t>
      </w:r>
      <w:r w:rsidRPr="00D86888">
        <w:t xml:space="preserve"> chicken </w:t>
      </w:r>
      <w:r w:rsidR="00783763">
        <w:t xml:space="preserve">ex ovo </w:t>
      </w:r>
      <w:r w:rsidRPr="00D86888">
        <w:t xml:space="preserve">embryo model allows us to examine the effect of the scaffolds on both angiogenesis and </w:t>
      </w:r>
      <w:r w:rsidR="00DA1B7E" w:rsidRPr="00D86888">
        <w:t>osteogenesis</w:t>
      </w:r>
      <w:r w:rsidRPr="00D86888">
        <w:t>. The angiogenic effect of therapeutics applied to the ex ovo chicken embryo can be visually examined on the highly vascularised chicken chorioallantoic membrane (CA</w:t>
      </w:r>
      <w:r w:rsidR="00661DFD">
        <w:t xml:space="preserve">M) which surrounds the embryo. </w:t>
      </w:r>
      <w:r w:rsidR="00DA1B7E" w:rsidRPr="00D86888">
        <w:t>During development, like humans, t</w:t>
      </w:r>
      <w:r w:rsidRPr="00D86888">
        <w:t xml:space="preserve">he limbs of chicken embryos undergo </w:t>
      </w:r>
      <w:r w:rsidR="001B0836">
        <w:t>endochondral</w:t>
      </w:r>
      <w:r w:rsidRPr="00D86888">
        <w:t xml:space="preserve"> ossification</w:t>
      </w:r>
      <w:r w:rsidR="00DA1B7E" w:rsidRPr="00D86888">
        <w:t xml:space="preserve"> </w:t>
      </w:r>
      <w:r w:rsidR="00DA1B7E" w:rsidRPr="00D86888">
        <w:lastRenderedPageBreak/>
        <w:t>and thus b</w:t>
      </w:r>
      <w:r w:rsidRPr="00D86888">
        <w:t xml:space="preserve">y culturing the chicken embryos up to a maximum of 12 days </w:t>
      </w:r>
      <w:r w:rsidR="00DA1B7E" w:rsidRPr="00D86888">
        <w:t>of development (whilst the limbs remain mainly cartilaginous)</w:t>
      </w:r>
      <w:r w:rsidRPr="00D86888">
        <w:t>, the osteogenic effect of therapeutics can be examined</w:t>
      </w:r>
      <w:r w:rsidR="00DA1B7E" w:rsidRPr="00D86888">
        <w:t xml:space="preserve"> </w:t>
      </w:r>
      <w:r w:rsidRPr="00D86888">
        <w:t xml:space="preserve">by looking for accelerated </w:t>
      </w:r>
      <w:r w:rsidR="001B0836">
        <w:t>endochondral</w:t>
      </w:r>
      <w:r w:rsidRPr="00D86888">
        <w:t xml:space="preserve"> ossification</w:t>
      </w:r>
      <w:r w:rsidR="00DA1B7E" w:rsidRPr="00D86888">
        <w:t>.</w:t>
      </w:r>
    </w:p>
    <w:p w14:paraId="21878ACF" w14:textId="1E9F971A" w:rsidR="009848D0" w:rsidRDefault="00143528" w:rsidP="002F1D24">
      <w:r w:rsidRPr="00D86888">
        <w:t xml:space="preserve">Fertilised chicken eggs (day 0 of development) were </w:t>
      </w:r>
      <w:r w:rsidR="00A3336C" w:rsidRPr="00D86888">
        <w:t>supplied by</w:t>
      </w:r>
      <w:r w:rsidRPr="00D86888">
        <w:t xml:space="preserve"> Ov</w:t>
      </w:r>
      <w:r w:rsidR="00A3336C" w:rsidRPr="00D86888">
        <w:t>agen (Ovagen Group Ltd, Co. Mayo, Ireland). On receipt, the eggs were i</w:t>
      </w:r>
      <w:r w:rsidRPr="00D86888">
        <w:t xml:space="preserve">ncubated for 3 days (until day 3 of development) </w:t>
      </w:r>
      <w:r w:rsidR="00A3336C" w:rsidRPr="00D86888">
        <w:t>lying in a horizontal posit</w:t>
      </w:r>
      <w:r w:rsidR="00C65A7D" w:rsidRPr="00D86888">
        <w:t>ion in a cell-culture incubator</w:t>
      </w:r>
      <w:r w:rsidR="00A3336C" w:rsidRPr="00D86888">
        <w:t xml:space="preserve"> at 37°C in regular atmospheric gas. The eggs were turned every 24 hours </w:t>
      </w:r>
      <w:r w:rsidR="009848D0" w:rsidRPr="00D86888">
        <w:t xml:space="preserve">for correct embryo orientation during development and for optimum CAM development </w:t>
      </w:r>
      <w:r w:rsidR="009848D0" w:rsidRPr="00D86888">
        <w:fldChar w:fldCharType="begin" w:fldLock="1"/>
      </w:r>
      <w:r w:rsidR="0045705E">
        <w:instrText>ADDIN CSL_CITATION {"citationItems":[{"id":"ITEM-1","itemData":{"DOI":"10.1093/ps/85.8.1433","ISSN":"0032-5791","author":[{"dropping-particle":"","family":"Elibol","given":"O.","non-dropping-particle":"","parse-names":false,"suffix":""},{"dropping-particle":"","family":"Brake","given":"J.","non-dropping-particle":"","parse-names":false,"suffix":""}],"container-title":"Poultry Science","id":"ITEM-1","issue":"8","issued":{"date-parts":[["2006"]]},"page":"1433-1437","publisher":"Oxford University Press","title":"Effect of egg turning angle and frequency during incubation on hatchability and incidence of unhatched broiler embryos with head in the small end of the egg","type":"article-journal","volume":"85"},"uris":["http://www.mendeley.com/documents/?uuid=2156454c-32ae-3e00-a12b-d9f06fa9d431"]}],"mendeley":{"formattedCitation":"[47]","plainTextFormattedCitation":"[47]","previouslyFormattedCitation":"[47]"},"properties":{"noteIndex":0},"schema":"https://github.com/citation-style-language/schema/raw/master/csl-citation.json"}</w:instrText>
      </w:r>
      <w:r w:rsidR="009848D0" w:rsidRPr="00D86888">
        <w:fldChar w:fldCharType="separate"/>
      </w:r>
      <w:r w:rsidR="00E02623" w:rsidRPr="00E02623">
        <w:rPr>
          <w:noProof/>
        </w:rPr>
        <w:t>[47]</w:t>
      </w:r>
      <w:r w:rsidR="009848D0" w:rsidRPr="00D86888">
        <w:fldChar w:fldCharType="end"/>
      </w:r>
      <w:r w:rsidR="009848D0" w:rsidRPr="00D86888">
        <w:t>. On day 3, t</w:t>
      </w:r>
      <w:r w:rsidRPr="00D86888">
        <w:t xml:space="preserve">he eggs were cracked into 100 mm Ø petri dishes </w:t>
      </w:r>
      <w:r w:rsidR="009848D0" w:rsidRPr="00D86888">
        <w:t xml:space="preserve">(Corning Inc., New York, USA) </w:t>
      </w:r>
      <w:r w:rsidRPr="00D86888">
        <w:t>and the lid was replaced</w:t>
      </w:r>
      <w:r w:rsidR="009848D0" w:rsidRPr="00D86888">
        <w:t xml:space="preserve">. </w:t>
      </w:r>
      <w:r w:rsidRPr="00D86888">
        <w:t xml:space="preserve">To keep the embryos humidified, the petri dish containing the embryo was placed into a larger 150 mm Ø petri dish </w:t>
      </w:r>
      <w:r w:rsidR="009848D0" w:rsidRPr="00D86888">
        <w:t xml:space="preserve">(Corning Inc., New York, USA) </w:t>
      </w:r>
      <w:r w:rsidRPr="00D86888">
        <w:t>containing 25 ml of sterile PBS and the lid of the larger petri dish was also replaced</w:t>
      </w:r>
      <w:r w:rsidR="009848D0" w:rsidRPr="00D86888">
        <w:t xml:space="preserve"> and the chick embryos were placed back in the incubator. After a further 4 days of incubation (until day 7 of development), the </w:t>
      </w:r>
      <w:r w:rsidR="00601131">
        <w:t xml:space="preserve">BG-CS and CuBG-CS </w:t>
      </w:r>
      <w:r w:rsidR="009848D0" w:rsidRPr="00D86888">
        <w:t>were placed on the CAM membrane (6 mm Ø scaffolds hydrated in PBS)</w:t>
      </w:r>
      <w:r w:rsidR="009054CF" w:rsidRPr="00D86888">
        <w:t xml:space="preserve">. As controls, collagen only scaffolds soaked in either PBS, 1 µg of recombinant VEGF </w:t>
      </w:r>
      <w:r w:rsidR="00540885" w:rsidRPr="00D86888">
        <w:t xml:space="preserve">(Vascular Endothelial Growth Factor) </w:t>
      </w:r>
      <w:r w:rsidR="009054CF" w:rsidRPr="00D86888">
        <w:t>or 1.5 µg of recombinant BMP-2</w:t>
      </w:r>
      <w:r w:rsidR="00540885" w:rsidRPr="00D86888">
        <w:t xml:space="preserve"> (Bone Morphogenic Protein-2)</w:t>
      </w:r>
      <w:r w:rsidR="009054CF" w:rsidRPr="00D86888">
        <w:t xml:space="preserve"> (</w:t>
      </w:r>
      <w:r w:rsidR="00540885" w:rsidRPr="00D86888">
        <w:t>PeproTech, United Kingdom</w:t>
      </w:r>
      <w:r w:rsidR="009054CF" w:rsidRPr="00D86888">
        <w:t>) were placed on the embryos.</w:t>
      </w:r>
      <w:r w:rsidR="009848D0" w:rsidRPr="00D86888">
        <w:t xml:space="preserve"> </w:t>
      </w:r>
      <w:r w:rsidRPr="00D86888">
        <w:t xml:space="preserve">The chick embryos were then incubated </w:t>
      </w:r>
      <w:r w:rsidR="009848D0" w:rsidRPr="00D86888">
        <w:t>for a final</w:t>
      </w:r>
      <w:r w:rsidR="00772301" w:rsidRPr="00D86888">
        <w:t xml:space="preserve"> 5 days (until day 12 of development) </w:t>
      </w:r>
      <w:r w:rsidR="009054CF" w:rsidRPr="00D86888">
        <w:t xml:space="preserve">and the effect of the scaffolds on both angiogenesis and osteogenesis was analysed, as </w:t>
      </w:r>
      <w:r w:rsidR="00592EAD" w:rsidRPr="00D86888">
        <w:t xml:space="preserve">described </w:t>
      </w:r>
      <w:r w:rsidR="009054CF" w:rsidRPr="00D86888">
        <w:t>below.</w:t>
      </w:r>
    </w:p>
    <w:p w14:paraId="5AC5DE4F" w14:textId="4627C0A4" w:rsidR="009F28C3" w:rsidRDefault="009F28C3" w:rsidP="002F1D24">
      <w:r>
        <w:t xml:space="preserve">All experimentation </w:t>
      </w:r>
      <w:r w:rsidRPr="009F28C3">
        <w:t xml:space="preserve">carried out </w:t>
      </w:r>
      <w:r>
        <w:t xml:space="preserve">on chick embryos was </w:t>
      </w:r>
      <w:r w:rsidRPr="009F28C3">
        <w:t>in accordance with the EU Directive 20</w:t>
      </w:r>
      <w:r>
        <w:t>10/63/EU for animal experiments.</w:t>
      </w:r>
    </w:p>
    <w:p w14:paraId="514EEF7B" w14:textId="77777777" w:rsidR="00661DFD" w:rsidRPr="00D86888" w:rsidRDefault="00661DFD" w:rsidP="00661DFD">
      <w:pPr>
        <w:pStyle w:val="Heading4"/>
      </w:pPr>
      <w:r w:rsidRPr="00D86888">
        <w:t>Osteogenesis studies</w:t>
      </w:r>
    </w:p>
    <w:p w14:paraId="5C4634EC" w14:textId="098CC462" w:rsidR="00661DFD" w:rsidRPr="00D86888" w:rsidRDefault="00661DFD" w:rsidP="00661DFD">
      <w:r w:rsidRPr="00D86888">
        <w:t xml:space="preserve">After </w:t>
      </w:r>
      <w:r>
        <w:t xml:space="preserve">analysing </w:t>
      </w:r>
      <w:r w:rsidRPr="00D86888">
        <w:t>angiogen</w:t>
      </w:r>
      <w:r>
        <w:t>esis</w:t>
      </w:r>
      <w:r w:rsidRPr="00D86888">
        <w:t xml:space="preserve">, the embryos were culled </w:t>
      </w:r>
      <w:r>
        <w:t xml:space="preserve">using </w:t>
      </w:r>
      <w:r w:rsidRPr="00D86888">
        <w:t xml:space="preserve">formalin solution </w:t>
      </w:r>
      <w:r>
        <w:t xml:space="preserve">and </w:t>
      </w:r>
      <w:r w:rsidRPr="00D86888">
        <w:t>embryo death was confirmed by decapitation</w:t>
      </w:r>
      <w:r>
        <w:t>. T</w:t>
      </w:r>
      <w:r w:rsidRPr="00D86888">
        <w:t>he hind limbs of the embryos were dissected and transferred to fresh 10% formalin solution overnight. Next, the hind limbs of the chick embryos were differentially stained for cartilage and bone following a protocol by Wassersug et al.</w:t>
      </w:r>
      <w:r>
        <w:t xml:space="preserve"> </w:t>
      </w:r>
      <w:r>
        <w:fldChar w:fldCharType="begin" w:fldLock="1"/>
      </w:r>
      <w:r w:rsidR="0045705E">
        <w:instrText>ADDIN CSL_CITATION {"citationItems":[{"id":"ITEM-1","itemData":{"author":[{"dropping-particle":"","family":"Wasserbug","given":"R. J.","non-dropping-particle":"","parse-names":false,"suffix":""}],"container-title":"Stain technology","id":"ITEM-1","issue":"2","issued":{"date-parts":[["1976"]]},"page":"131-133","title":"Wassersug76 - a procedure for differential staining of cartilage and bone in whale formalin. fixed vertebrates.pdf.pdf","type":"article-journal","volume":"51"},"uris":["http://www.mendeley.com/documents/?uuid=47334a61-5996-4117-9c93-4fa19a8001ea"]}],"mendeley":{"formattedCitation":"[48]","plainTextFormattedCitation":"[48]","previouslyFormattedCitation":"[48]"},"properties":{"noteIndex":0},"schema":"https://github.com/citation-style-language/schema/raw/master/csl-citation.json"}</w:instrText>
      </w:r>
      <w:r>
        <w:fldChar w:fldCharType="separate"/>
      </w:r>
      <w:r w:rsidR="00E02623" w:rsidRPr="00E02623">
        <w:rPr>
          <w:noProof/>
        </w:rPr>
        <w:t>[48]</w:t>
      </w:r>
      <w:r>
        <w:fldChar w:fldCharType="end"/>
      </w:r>
      <w:r w:rsidRPr="00D86888">
        <w:t xml:space="preserve">. </w:t>
      </w:r>
      <w:r>
        <w:t>Briefly, t</w:t>
      </w:r>
      <w:r w:rsidRPr="00D86888">
        <w:t>he</w:t>
      </w:r>
      <w:r>
        <w:t xml:space="preserve"> e</w:t>
      </w:r>
      <w:r w:rsidRPr="00D86888">
        <w:t xml:space="preserve">xcess skin and tissue surrounding the femur and tibia/fibula were removed carefully </w:t>
      </w:r>
      <w:r>
        <w:t>and t</w:t>
      </w:r>
      <w:r w:rsidRPr="00D86888">
        <w:t>he specimens were washed in a</w:t>
      </w:r>
      <w:r>
        <w:t xml:space="preserve"> series deionised water changes. The limbs</w:t>
      </w:r>
      <w:r w:rsidRPr="00D86888">
        <w:t xml:space="preserve"> were</w:t>
      </w:r>
      <w:r>
        <w:t xml:space="preserve"> then</w:t>
      </w:r>
      <w:r w:rsidRPr="00D86888">
        <w:t xml:space="preserve"> placed in an alcian blue staining solution (9 mg alcian blue 8GX, 60 ml absolute ethanol, 40 ml glacial acetic acid) for 24 hours. </w:t>
      </w:r>
      <w:r>
        <w:t>Next, t</w:t>
      </w:r>
      <w:r w:rsidRPr="00D86888">
        <w:t xml:space="preserve">he </w:t>
      </w:r>
      <w:r>
        <w:t>limbs</w:t>
      </w:r>
      <w:r w:rsidRPr="00D86888">
        <w:t xml:space="preserve"> were </w:t>
      </w:r>
      <w:r>
        <w:t>dehydrated in</w:t>
      </w:r>
      <w:r w:rsidRPr="00D86888">
        <w:t xml:space="preserve"> absolute ethanol for 24 hours</w:t>
      </w:r>
      <w:r>
        <w:t>. After dehydration, the limbs</w:t>
      </w:r>
      <w:r w:rsidRPr="00D86888">
        <w:t xml:space="preserve"> </w:t>
      </w:r>
      <w:r>
        <w:t>were</w:t>
      </w:r>
      <w:r w:rsidRPr="00D86888">
        <w:t xml:space="preserve"> placed in 0.5% potassium hydroxide (KOH) solution with 3 or 4 drops of 0.1% alizarin red S solution to every 100 ml of KOH solution for 24 hours. Finally, the </w:t>
      </w:r>
      <w:r>
        <w:t>limbs</w:t>
      </w:r>
      <w:r w:rsidRPr="00D86888">
        <w:t xml:space="preserve"> were cleared by transferring </w:t>
      </w:r>
      <w:r>
        <w:t>s</w:t>
      </w:r>
      <w:r w:rsidRPr="00D86888">
        <w:t xml:space="preserve">pecimens to 100% </w:t>
      </w:r>
      <w:r w:rsidRPr="00D86888">
        <w:lastRenderedPageBreak/>
        <w:t>glycerol through a series of glycerol-water soluti</w:t>
      </w:r>
      <w:r>
        <w:t xml:space="preserve">ons – 25%, 50%, 75%, and 100%. </w:t>
      </w:r>
      <w:r w:rsidRPr="00D86888">
        <w:t>The limbs were imaged</w:t>
      </w:r>
      <w:r>
        <w:t xml:space="preserve"> for signs of accelerated osteogenesis (alizarin red staining)</w:t>
      </w:r>
      <w:r w:rsidRPr="00D86888">
        <w:t xml:space="preserve"> using a stereo microscope at 10X magnification (Leica Microsystems, Germany).</w:t>
      </w:r>
    </w:p>
    <w:p w14:paraId="67E4FABE" w14:textId="77777777" w:rsidR="00714B87" w:rsidRPr="00D86888" w:rsidRDefault="00714B87" w:rsidP="00714B87">
      <w:pPr>
        <w:pStyle w:val="Heading4"/>
      </w:pPr>
      <w:bookmarkStart w:id="32" w:name="_Toc511632116"/>
      <w:r w:rsidRPr="00D86888">
        <w:t>Angiogenesis studies - blood vessel quantification</w:t>
      </w:r>
      <w:bookmarkEnd w:id="32"/>
    </w:p>
    <w:p w14:paraId="5674392B" w14:textId="341BDFEC" w:rsidR="00675334" w:rsidRDefault="00327DB5" w:rsidP="002F1D24">
      <w:r w:rsidRPr="00D86888">
        <w:t xml:space="preserve">The local effect of the scaffolds on angiogenesis of the CAM was analysed by quantifying the blood vessel density in the region surrounding to the scaffold. </w:t>
      </w:r>
      <w:r w:rsidR="00714B87" w:rsidRPr="00D86888">
        <w:t xml:space="preserve">On day 12, </w:t>
      </w:r>
      <w:r w:rsidRPr="00D86888">
        <w:t xml:space="preserve">the scaffolds </w:t>
      </w:r>
      <w:r w:rsidR="00923A54">
        <w:t>and</w:t>
      </w:r>
      <w:r w:rsidRPr="00D86888">
        <w:t xml:space="preserve"> surrounding CAM of </w:t>
      </w:r>
      <w:r w:rsidR="00714B87" w:rsidRPr="00D86888">
        <w:t xml:space="preserve">all chick embryos were </w:t>
      </w:r>
      <w:r w:rsidR="00923A54">
        <w:t>imaged</w:t>
      </w:r>
      <w:r w:rsidR="00714B87" w:rsidRPr="00D86888">
        <w:t xml:space="preserve">. </w:t>
      </w:r>
      <w:r w:rsidRPr="00D86888">
        <w:t xml:space="preserve">The images were analysed for blood vessel density </w:t>
      </w:r>
      <w:r w:rsidR="0083589A">
        <w:t>by developing a novel method using</w:t>
      </w:r>
      <w:r w:rsidRPr="00D86888">
        <w:t xml:space="preserve"> Fiji software (ImageJ)</w:t>
      </w:r>
      <w:r w:rsidR="008D1FA9" w:rsidRPr="00D86888">
        <w:t xml:space="preserve"> (</w:t>
      </w:r>
      <w:r w:rsidR="008D1FA9" w:rsidRPr="00D86888">
        <w:fldChar w:fldCharType="begin"/>
      </w:r>
      <w:r w:rsidR="008D1FA9" w:rsidRPr="00D86888">
        <w:instrText xml:space="preserve"> REF _Ref523758947 \h </w:instrText>
      </w:r>
      <w:r w:rsidR="008D1FA9" w:rsidRPr="00D86888">
        <w:fldChar w:fldCharType="separate"/>
      </w:r>
      <w:r w:rsidR="004D5029" w:rsidRPr="00D86888">
        <w:rPr>
          <w:b/>
        </w:rPr>
        <w:t xml:space="preserve">Figure </w:t>
      </w:r>
      <w:r w:rsidR="004D5029">
        <w:rPr>
          <w:b/>
          <w:noProof/>
        </w:rPr>
        <w:t>1</w:t>
      </w:r>
      <w:r w:rsidR="008D1FA9" w:rsidRPr="00D86888">
        <w:fldChar w:fldCharType="end"/>
      </w:r>
      <w:r w:rsidR="008D1FA9" w:rsidRPr="00D86888">
        <w:t xml:space="preserve">). </w:t>
      </w:r>
      <w:r w:rsidR="00B16C23" w:rsidRPr="00D86888">
        <w:t>Briefly, images were scaled and cropped appropriately and the ‘Mexican Hat Filter’</w:t>
      </w:r>
      <w:r w:rsidR="00483F76" w:rsidRPr="00D86888">
        <w:t xml:space="preserve"> plugin</w:t>
      </w:r>
      <w:r w:rsidR="00B16C23" w:rsidRPr="00D86888">
        <w:t xml:space="preserve"> was applied (radius 5.0). Next, images were converted to 8-bit </w:t>
      </w:r>
      <w:r w:rsidR="00675334" w:rsidRPr="00D86888">
        <w:t>and the threshold was adjusted to a set level where all blood vessels were highlighted appropriately (lower threshold: 0, upper threshold: 150). Finally, a 12.5 mm Ø circle was drawn centred around the scaffold and the percentage of that area that contained blood vessels was quantified using the measure tool (n=3 embryos analysed for each treatment group).</w:t>
      </w:r>
    </w:p>
    <w:p w14:paraId="43C200E9" w14:textId="5330B1BE" w:rsidR="00B16C23" w:rsidRPr="00D86888" w:rsidRDefault="000F31A9" w:rsidP="002F1D24">
      <w:r>
        <w:rPr>
          <w:noProof/>
          <w:lang w:val="en-US"/>
        </w:rPr>
        <w:drawing>
          <wp:inline distT="0" distB="0" distL="0" distR="0" wp14:anchorId="3000BF15" wp14:editId="15EB35CD">
            <wp:extent cx="5205730" cy="3493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5730" cy="3493770"/>
                    </a:xfrm>
                    <a:prstGeom prst="rect">
                      <a:avLst/>
                    </a:prstGeom>
                    <a:noFill/>
                    <a:ln>
                      <a:noFill/>
                    </a:ln>
                  </pic:spPr>
                </pic:pic>
              </a:graphicData>
            </a:graphic>
          </wp:inline>
        </w:drawing>
      </w:r>
    </w:p>
    <w:p w14:paraId="04A9BFC4" w14:textId="414A52AD" w:rsidR="005A6FC1" w:rsidRPr="00D86888" w:rsidRDefault="008D1FA9" w:rsidP="005A6FC1">
      <w:pPr>
        <w:pStyle w:val="Caption"/>
        <w:rPr>
          <w:b/>
        </w:rPr>
      </w:pPr>
      <w:bookmarkStart w:id="33" w:name="_Ref523758947"/>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1</w:t>
      </w:r>
      <w:r w:rsidRPr="00D86888">
        <w:rPr>
          <w:b/>
        </w:rPr>
        <w:fldChar w:fldCharType="end"/>
      </w:r>
      <w:bookmarkEnd w:id="33"/>
      <w:r w:rsidRPr="00D86888">
        <w:rPr>
          <w:b/>
        </w:rPr>
        <w:t xml:space="preserve"> Method used to analyse effect of the scaffolds on angiogenesis in a chick CAM membrane</w:t>
      </w:r>
      <w:r w:rsidR="00681DEC" w:rsidRPr="00D86888">
        <w:rPr>
          <w:b/>
        </w:rPr>
        <w:t xml:space="preserve"> using Fiji software (ImageJ)</w:t>
      </w:r>
    </w:p>
    <w:p w14:paraId="7F2E82DD" w14:textId="77777777" w:rsidR="008D1FA9" w:rsidRPr="00D86888" w:rsidRDefault="005A6FC1" w:rsidP="005A6FC1">
      <w:pPr>
        <w:pStyle w:val="Caption"/>
        <w:rPr>
          <w:b/>
        </w:rPr>
      </w:pPr>
      <w:r w:rsidRPr="00D86888">
        <w:rPr>
          <w:bCs w:val="0"/>
        </w:rPr>
        <w:t>(A</w:t>
      </w:r>
      <w:r w:rsidRPr="00D86888">
        <w:t>) Scaled and cropped image of whole CAM membrane containing scaffold (indicated by the white arrow)</w:t>
      </w:r>
      <w:r w:rsidR="00681DEC" w:rsidRPr="00D86888">
        <w:t xml:space="preserve">. (B) Image after ‘Mexican Hat Filter’ plugin was applied. </w:t>
      </w:r>
      <w:r w:rsidR="00483F76" w:rsidRPr="00D86888">
        <w:t xml:space="preserve">(C) Image converted to 8-bit. (D) Thresholding of image to include all blood vessels. (E) Image after threshold was applied. (F) Region around scaffold where the percentage blood vessel area was measured. </w:t>
      </w:r>
    </w:p>
    <w:p w14:paraId="08EC5B6E" w14:textId="77777777" w:rsidR="00003273" w:rsidRPr="00D86888" w:rsidRDefault="00003273" w:rsidP="00F25FD9">
      <w:pPr>
        <w:pStyle w:val="Heading3"/>
        <w:numPr>
          <w:ilvl w:val="1"/>
          <w:numId w:val="23"/>
        </w:numPr>
      </w:pPr>
      <w:bookmarkStart w:id="34" w:name="_Toc510971236"/>
      <w:r w:rsidRPr="00D86888">
        <w:lastRenderedPageBreak/>
        <w:t>Statistical analysis</w:t>
      </w:r>
      <w:bookmarkEnd w:id="34"/>
    </w:p>
    <w:p w14:paraId="6E7C487A" w14:textId="77777777" w:rsidR="00907325" w:rsidRPr="00D86888" w:rsidRDefault="00003273" w:rsidP="00003273">
      <w:r w:rsidRPr="00D86888">
        <w:t xml:space="preserve">Data are presented as mean +/- standard deviation. Statistical analysis was performed using GraphPad Prism software. </w:t>
      </w:r>
      <w:r w:rsidR="0083589A">
        <w:t>Two-tailed unpaired t-tests or one-way or two-way ANOVAs were</w:t>
      </w:r>
      <w:r w:rsidRPr="00D86888">
        <w:t xml:space="preserve"> conducted where appropriate followed by a Bonferroni post-hoc test for multiple pairwise comparisons between groups. A P-value of 0.05 or less was considered statistically significant (p ≤ 0.05). The Pearson product correlation coefficient (r) was used to determine the strength and direction of a linear relationship. An r value of 0.7-1 was considered a strong positive correlation. Three biological and three technical repeats were performed for all experiments and assays.</w:t>
      </w:r>
    </w:p>
    <w:p w14:paraId="30F55A88" w14:textId="77777777" w:rsidR="008E25F7" w:rsidRPr="00D86888" w:rsidRDefault="008E25F7">
      <w:pPr>
        <w:spacing w:after="200" w:line="276" w:lineRule="auto"/>
        <w:jc w:val="left"/>
      </w:pPr>
      <w:r w:rsidRPr="00D86888">
        <w:br w:type="page"/>
      </w:r>
    </w:p>
    <w:p w14:paraId="4F9EEC58" w14:textId="72DC90AC" w:rsidR="00870E3A" w:rsidRDefault="00870E3A" w:rsidP="00432F4E">
      <w:pPr>
        <w:pStyle w:val="Heading2"/>
      </w:pPr>
      <w:bookmarkStart w:id="35" w:name="_Toc510971237"/>
      <w:r w:rsidRPr="00D86888">
        <w:lastRenderedPageBreak/>
        <w:t>Results</w:t>
      </w:r>
      <w:bookmarkEnd w:id="35"/>
    </w:p>
    <w:p w14:paraId="1EDDDD1D" w14:textId="77777777" w:rsidR="00463000" w:rsidRPr="00D86888" w:rsidRDefault="00463000" w:rsidP="00F25FD9">
      <w:pPr>
        <w:pStyle w:val="Heading3"/>
        <w:numPr>
          <w:ilvl w:val="1"/>
          <w:numId w:val="23"/>
        </w:numPr>
      </w:pPr>
      <w:bookmarkStart w:id="36" w:name="_Toc510971238"/>
      <w:r w:rsidRPr="00D86888">
        <w:t xml:space="preserve">Copper ions effectively eliminate </w:t>
      </w:r>
      <w:r w:rsidRPr="00D86888">
        <w:rPr>
          <w:i/>
        </w:rPr>
        <w:t>Staphylococcus aureus</w:t>
      </w:r>
      <w:r w:rsidRPr="00D86888">
        <w:t xml:space="preserve"> with viable mammalian cells remaining</w:t>
      </w:r>
      <w:bookmarkEnd w:id="36"/>
    </w:p>
    <w:p w14:paraId="40785FA7" w14:textId="00932BB7" w:rsidR="00463000" w:rsidRPr="00D86888" w:rsidRDefault="00463000" w:rsidP="00463000">
      <w:r w:rsidRPr="00D86888">
        <w:t>A range of copper chloride concentrations were utilised to determine the effect of Cu</w:t>
      </w:r>
      <w:r w:rsidRPr="00F93B1F">
        <w:rPr>
          <w:vertAlign w:val="superscript"/>
        </w:rPr>
        <w:t>2+</w:t>
      </w:r>
      <w:r w:rsidRPr="00D86888">
        <w:t xml:space="preserve"> exposure on both bacterial and mammalian cells in 2D culture. Increasing copper ion concentration decreased cellular viability of both </w:t>
      </w:r>
      <w:r w:rsidRPr="00D86888">
        <w:rPr>
          <w:i/>
        </w:rPr>
        <w:t>S. aureus</w:t>
      </w:r>
      <w:r w:rsidRPr="00D86888">
        <w:t xml:space="preserve"> and </w:t>
      </w:r>
      <w:r w:rsidR="00367841">
        <w:t xml:space="preserve">osteoblasts </w:t>
      </w:r>
      <w:r w:rsidRPr="00D86888">
        <w:t>after 24 hours (</w:t>
      </w:r>
      <w:r w:rsidR="002D7CD2" w:rsidRPr="00D86888">
        <w:fldChar w:fldCharType="begin"/>
      </w:r>
      <w:r w:rsidR="002D7CD2" w:rsidRPr="00D86888">
        <w:instrText xml:space="preserve"> REF _Ref523754984 \h </w:instrText>
      </w:r>
      <w:r w:rsidR="002D7CD2" w:rsidRPr="00D86888">
        <w:fldChar w:fldCharType="separate"/>
      </w:r>
      <w:r w:rsidR="004D5029" w:rsidRPr="00D86888">
        <w:rPr>
          <w:b/>
        </w:rPr>
        <w:t xml:space="preserve">Figure </w:t>
      </w:r>
      <w:r w:rsidR="004D5029">
        <w:rPr>
          <w:b/>
          <w:noProof/>
        </w:rPr>
        <w:t>2</w:t>
      </w:r>
      <w:r w:rsidR="002D7CD2" w:rsidRPr="00D86888">
        <w:fldChar w:fldCharType="end"/>
      </w:r>
      <w:r w:rsidRPr="00D86888">
        <w:t>). Both the minimum inhibitory concentration (MIC) and minimum bactericidal concentration (MBC) of Cu</w:t>
      </w:r>
      <w:r w:rsidRPr="00F93B1F">
        <w:rPr>
          <w:vertAlign w:val="superscript"/>
        </w:rPr>
        <w:t>2+</w:t>
      </w:r>
      <w:r w:rsidRPr="00D86888">
        <w:t xml:space="preserve"> against </w:t>
      </w:r>
      <w:r w:rsidRPr="00D86888">
        <w:rPr>
          <w:i/>
        </w:rPr>
        <w:t>S. aureus</w:t>
      </w:r>
      <w:r w:rsidRPr="00D86888">
        <w:t xml:space="preserve"> Newman was found to be 1.02 mg/ml. While a reduction in mammalian cell viability was observed at concentrations above 0.06 mg Cu</w:t>
      </w:r>
      <w:r w:rsidRPr="00F93B1F">
        <w:rPr>
          <w:vertAlign w:val="superscript"/>
        </w:rPr>
        <w:t>2+</w:t>
      </w:r>
      <w:r w:rsidRPr="00D86888">
        <w:t>/ml, increasing the copper concentration further did not have any additional effect on mammalian cell viability. By contrast, concentrations of copper chloride above 0.51 mg Cu</w:t>
      </w:r>
      <w:r w:rsidRPr="00F93B1F">
        <w:rPr>
          <w:vertAlign w:val="superscript"/>
        </w:rPr>
        <w:t>2+</w:t>
      </w:r>
      <w:r w:rsidRPr="00D86888">
        <w:t xml:space="preserve">/ml almost completely eliminated </w:t>
      </w:r>
      <w:r w:rsidRPr="00D86888">
        <w:rPr>
          <w:i/>
        </w:rPr>
        <w:t>S. aureus</w:t>
      </w:r>
      <w:r w:rsidRPr="00D86888">
        <w:t xml:space="preserve"> growth (MIC/MBC concentrations).</w:t>
      </w:r>
    </w:p>
    <w:p w14:paraId="64FA5365" w14:textId="77777777" w:rsidR="00463000" w:rsidRPr="00D86888" w:rsidRDefault="00463000" w:rsidP="001E4D5F">
      <w:pPr>
        <w:spacing w:after="0"/>
        <w:jc w:val="center"/>
      </w:pPr>
      <w:r w:rsidRPr="00D86888">
        <w:rPr>
          <w:noProof/>
          <w:lang w:val="en-US"/>
        </w:rPr>
        <w:drawing>
          <wp:inline distT="0" distB="0" distL="0" distR="0" wp14:anchorId="48A1AD6A" wp14:editId="7D869664">
            <wp:extent cx="3683635" cy="1943735"/>
            <wp:effectExtent l="0" t="0" r="0" b="0"/>
            <wp:docPr id="13" name="Picture 13" descr="E:\RCSI\Project\Bioglass\Bioglass pape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SI\Project\Bioglass\Bioglass paper\2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47" r="4811"/>
                    <a:stretch/>
                  </pic:blipFill>
                  <pic:spPr bwMode="auto">
                    <a:xfrm>
                      <a:off x="0" y="0"/>
                      <a:ext cx="3683635" cy="1943735"/>
                    </a:xfrm>
                    <a:prstGeom prst="rect">
                      <a:avLst/>
                    </a:prstGeom>
                    <a:noFill/>
                    <a:ln>
                      <a:noFill/>
                    </a:ln>
                    <a:extLst>
                      <a:ext uri="{53640926-AAD7-44D8-BBD7-CCE9431645EC}">
                        <a14:shadowObscured xmlns:a14="http://schemas.microsoft.com/office/drawing/2010/main"/>
                      </a:ext>
                    </a:extLst>
                  </pic:spPr>
                </pic:pic>
              </a:graphicData>
            </a:graphic>
          </wp:inline>
        </w:drawing>
      </w:r>
    </w:p>
    <w:p w14:paraId="725E3FB3" w14:textId="5D06A4CD" w:rsidR="002D7CD2" w:rsidRPr="00D86888" w:rsidRDefault="002D7CD2" w:rsidP="002D7CD2">
      <w:pPr>
        <w:pStyle w:val="Caption"/>
        <w:rPr>
          <w:b/>
        </w:rPr>
      </w:pPr>
      <w:bookmarkStart w:id="37" w:name="_Ref523754984"/>
      <w:bookmarkStart w:id="38" w:name="_Ref510968385"/>
      <w:bookmarkStart w:id="39" w:name="_Toc510969631"/>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2</w:t>
      </w:r>
      <w:r w:rsidRPr="00D86888">
        <w:rPr>
          <w:b/>
        </w:rPr>
        <w:fldChar w:fldCharType="end"/>
      </w:r>
      <w:bookmarkEnd w:id="37"/>
      <w:r w:rsidRPr="00D86888">
        <w:rPr>
          <w:b/>
        </w:rPr>
        <w:t xml:space="preserve"> Effect of copper chloride on </w:t>
      </w:r>
      <w:r w:rsidRPr="00D86888">
        <w:rPr>
          <w:b/>
          <w:i/>
        </w:rPr>
        <w:t>S. aureus</w:t>
      </w:r>
      <w:r w:rsidRPr="00D86888">
        <w:rPr>
          <w:b/>
        </w:rPr>
        <w:t xml:space="preserve"> and pre-osteoblast cells (MC3T3-E1)</w:t>
      </w:r>
    </w:p>
    <w:bookmarkEnd w:id="38"/>
    <w:bookmarkEnd w:id="39"/>
    <w:p w14:paraId="24BEB974" w14:textId="77777777" w:rsidR="00A6300D" w:rsidRPr="00D86888" w:rsidRDefault="00A6300D" w:rsidP="00A6300D">
      <w:pPr>
        <w:pStyle w:val="Caption"/>
        <w:rPr>
          <w:b/>
        </w:rPr>
      </w:pPr>
      <w:r w:rsidRPr="00D86888">
        <w:t xml:space="preserve">The viability of pre-osteoblast cells or </w:t>
      </w:r>
      <w:r w:rsidRPr="00D86888">
        <w:rPr>
          <w:i/>
        </w:rPr>
        <w:t>S. aureus</w:t>
      </w:r>
      <w:r w:rsidRPr="00D86888">
        <w:t xml:space="preserve"> cultured with increasing concentrations of copper chloride was analysed using DNA quantification and spectrophotometric growth quantification, respectively. Note: Viability of mammalian cells is normalized to cells seeded into the well plate with 0 mg/ml copper chloride (regular growth media) and viability of </w:t>
      </w:r>
      <w:r w:rsidRPr="00D86888">
        <w:rPr>
          <w:i/>
        </w:rPr>
        <w:t>S. aureus</w:t>
      </w:r>
      <w:r w:rsidRPr="00D86888">
        <w:t xml:space="preserve"> is normalized to bacteria with 0 mg/ml copper chloride (regular BHI growth broth).</w:t>
      </w:r>
    </w:p>
    <w:p w14:paraId="43DD61B2" w14:textId="60A15903" w:rsidR="00463000" w:rsidRDefault="00000E06" w:rsidP="00000E06">
      <w:r w:rsidRPr="00D86888">
        <w:t>These results highlight the fine balance between bacteria-killing ability and toxic effects towards mammalian cells, emphasising the need to control the dosage level to achieve a suitable bacteria killing/mammalian cell survival ratio. This motivates the application of local and controlled release of copper ions while providing some basis for requisite dosing for the proposed biomaterial system.</w:t>
      </w:r>
    </w:p>
    <w:p w14:paraId="7346DB1F" w14:textId="4CBC8E30" w:rsidR="002B50F1" w:rsidRPr="004D5029" w:rsidRDefault="002B50F1" w:rsidP="002B50F1">
      <w:pPr>
        <w:pStyle w:val="Heading3"/>
        <w:numPr>
          <w:ilvl w:val="1"/>
          <w:numId w:val="23"/>
        </w:numPr>
      </w:pPr>
      <w:r w:rsidRPr="004D5029">
        <w:t>Characterisation of copper-doped bioactive glass</w:t>
      </w:r>
    </w:p>
    <w:p w14:paraId="16A32B99" w14:textId="0999BCFD" w:rsidR="002B50F1" w:rsidRDefault="00FC37C1" w:rsidP="00DB306D">
      <w:pPr>
        <w:spacing w:after="0"/>
        <w:rPr>
          <w:lang w:val="en-US"/>
        </w:rPr>
      </w:pPr>
      <w:r w:rsidRPr="00D86888">
        <w:t xml:space="preserve">Bioactive glass (with and without copper) was fabricated via a sol-gel method, ground, and sieved. The resulting particles ranged between 2-100 μm, as per dynamic light scattering </w:t>
      </w:r>
      <w:r w:rsidR="00F70A90" w:rsidRPr="004D5029">
        <w:rPr>
          <w:lang w:val="en-US"/>
        </w:rPr>
        <w:lastRenderedPageBreak/>
        <w:t>(</w:t>
      </w:r>
      <w:r w:rsidR="00F70A90" w:rsidRPr="004D5029">
        <w:rPr>
          <w:lang w:val="en-US"/>
        </w:rPr>
        <w:fldChar w:fldCharType="begin"/>
      </w:r>
      <w:r w:rsidR="00F70A90" w:rsidRPr="004D5029">
        <w:rPr>
          <w:lang w:val="en-US"/>
        </w:rPr>
        <w:instrText xml:space="preserve"> REF _Ref535350073 \h  \* MERGEFORMAT </w:instrText>
      </w:r>
      <w:r w:rsidR="00F70A90" w:rsidRPr="004D5029">
        <w:rPr>
          <w:lang w:val="en-US"/>
        </w:rPr>
      </w:r>
      <w:r w:rsidR="00F70A90" w:rsidRPr="004D5029">
        <w:rPr>
          <w:lang w:val="en-US"/>
        </w:rPr>
        <w:fldChar w:fldCharType="separate"/>
      </w:r>
      <w:r w:rsidR="00F70A90" w:rsidRPr="004D5029">
        <w:rPr>
          <w:b/>
        </w:rPr>
        <w:t xml:space="preserve">Figure </w:t>
      </w:r>
      <w:r w:rsidR="00F70A90" w:rsidRPr="004D5029">
        <w:rPr>
          <w:b/>
          <w:noProof/>
        </w:rPr>
        <w:t>3</w:t>
      </w:r>
      <w:r w:rsidR="00F70A90" w:rsidRPr="004D5029">
        <w:rPr>
          <w:lang w:val="en-US"/>
        </w:rPr>
        <w:fldChar w:fldCharType="end"/>
      </w:r>
      <w:r w:rsidR="00F70A90">
        <w:rPr>
          <w:lang w:val="en-US"/>
        </w:rPr>
        <w:t>A</w:t>
      </w:r>
      <w:r w:rsidR="00F70A90" w:rsidRPr="004D5029">
        <w:rPr>
          <w:lang w:val="en-US"/>
        </w:rPr>
        <w:t>)</w:t>
      </w:r>
      <w:r w:rsidRPr="004D5029">
        <w:t xml:space="preserve">. </w:t>
      </w:r>
      <w:r w:rsidR="002B50F1" w:rsidRPr="004D5029">
        <w:rPr>
          <w:lang w:val="en-US"/>
        </w:rPr>
        <w:t xml:space="preserve">XRD showed that the incorporation of Cu generated copper oxide (CuO), and peaks at 2θ = 35°, 40° and 47° were developed </w:t>
      </w:r>
      <w:r w:rsidR="000333B8" w:rsidRPr="004D5029">
        <w:rPr>
          <w:lang w:val="en-US"/>
        </w:rPr>
        <w:t>(</w:t>
      </w:r>
      <w:r w:rsidR="002B50F1" w:rsidRPr="004D5029">
        <w:rPr>
          <w:lang w:val="en-US"/>
        </w:rPr>
        <w:fldChar w:fldCharType="begin"/>
      </w:r>
      <w:r w:rsidR="002B50F1" w:rsidRPr="004D5029">
        <w:rPr>
          <w:lang w:val="en-US"/>
        </w:rPr>
        <w:instrText xml:space="preserve"> REF _Ref535350073 \h  \* MERGEFORMAT </w:instrText>
      </w:r>
      <w:r w:rsidR="002B50F1" w:rsidRPr="004D5029">
        <w:rPr>
          <w:lang w:val="en-US"/>
        </w:rPr>
      </w:r>
      <w:r w:rsidR="002B50F1" w:rsidRPr="004D5029">
        <w:rPr>
          <w:lang w:val="en-US"/>
        </w:rPr>
        <w:fldChar w:fldCharType="separate"/>
      </w:r>
      <w:r w:rsidR="004D5029" w:rsidRPr="004D5029">
        <w:rPr>
          <w:b/>
        </w:rPr>
        <w:t xml:space="preserve">Figure </w:t>
      </w:r>
      <w:r w:rsidR="004D5029" w:rsidRPr="004D5029">
        <w:rPr>
          <w:b/>
          <w:noProof/>
        </w:rPr>
        <w:t>3</w:t>
      </w:r>
      <w:r w:rsidR="002B50F1" w:rsidRPr="004D5029">
        <w:rPr>
          <w:lang w:val="en-US"/>
        </w:rPr>
        <w:fldChar w:fldCharType="end"/>
      </w:r>
      <w:r w:rsidRPr="004D5029">
        <w:rPr>
          <w:lang w:val="en-US"/>
        </w:rPr>
        <w:t>B</w:t>
      </w:r>
      <w:r w:rsidR="000333B8" w:rsidRPr="004D5029">
        <w:rPr>
          <w:lang w:val="en-US"/>
        </w:rPr>
        <w:t>)</w:t>
      </w:r>
      <w:r w:rsidR="002B50F1" w:rsidRPr="004D5029">
        <w:rPr>
          <w:lang w:val="en-US"/>
        </w:rPr>
        <w:t xml:space="preserve">. The presence of CuO crystals in these systems </w:t>
      </w:r>
      <w:r w:rsidR="004D5029">
        <w:rPr>
          <w:lang w:val="en-US"/>
        </w:rPr>
        <w:t>likely depends</w:t>
      </w:r>
      <w:r w:rsidR="002B50F1" w:rsidRPr="004D5029">
        <w:rPr>
          <w:lang w:val="en-US"/>
        </w:rPr>
        <w:t xml:space="preserve"> on the conditions used during the sol–gel process and the amount of copper added. These results are in agreement with those obtained by Bejarano </w:t>
      </w:r>
      <w:r w:rsidR="002B50F1" w:rsidRPr="004D5029">
        <w:rPr>
          <w:i/>
          <w:lang w:val="en-US"/>
        </w:rPr>
        <w:t>et al</w:t>
      </w:r>
      <w:r w:rsidR="002B50F1" w:rsidRPr="004D5029">
        <w:rPr>
          <w:lang w:val="en-US"/>
        </w:rPr>
        <w:t xml:space="preserve">. </w:t>
      </w:r>
      <w:r w:rsidR="002B50F1" w:rsidRPr="004D5029">
        <w:rPr>
          <w:lang w:val="en-US"/>
        </w:rPr>
        <w:fldChar w:fldCharType="begin" w:fldLock="1"/>
      </w:r>
      <w:r w:rsidR="002F5C61" w:rsidRPr="004D5029">
        <w:rPr>
          <w:lang w:val="en-US"/>
        </w:rPr>
        <w:instrText>ADDIN CSL_CITATION {"citationItems":[{"id":"ITEM-1","itemData":{"DOI":"10.1088/1748-6041/10/2/025001","ISSN":"1748-6041","author":[{"dropping-particle":"","family":"Bejarano","given":"Julian","non-dropping-particle":"","parse-names":false,"suffix":""},{"dropping-particle":"","family":"Caviedes","given":"Pablo","non-dropping-particle":"","parse-names":false,"suffix":""},{"dropping-particle":"","family":"Palza","given":"Humberto","non-dropping-particle":"","parse-names":false,"suffix":""}],"container-title":"Biomedical Materials","id":"ITEM-1","issue":"2","issued":{"date-parts":[["2015"]]},"page":"1-13","publisher":"IOP Publishing","title":"Sol – gel synthesis and in vitro bioactivity of copper and zinc-doped silicate bioactive glasses and glass-ceramics","type":"article-journal","volume":"10"},"uris":["http://www.mendeley.com/documents/?uuid=beccc8c1-5c63-42c0-b2fc-3435a952b986"]}],"mendeley":{"formattedCitation":"[49]","plainTextFormattedCitation":"[49]","previouslyFormattedCitation":"[49]"},"properties":{"noteIndex":0},"schema":"https://github.com/citation-style-language/schema/raw/master/csl-citation.json"}</w:instrText>
      </w:r>
      <w:r w:rsidR="002B50F1" w:rsidRPr="004D5029">
        <w:rPr>
          <w:lang w:val="en-US"/>
        </w:rPr>
        <w:fldChar w:fldCharType="separate"/>
      </w:r>
      <w:r w:rsidR="002B50F1" w:rsidRPr="004D5029">
        <w:rPr>
          <w:noProof/>
          <w:lang w:val="en-US"/>
        </w:rPr>
        <w:t>[49]</w:t>
      </w:r>
      <w:r w:rsidR="002B50F1" w:rsidRPr="004D5029">
        <w:rPr>
          <w:lang w:val="en-US"/>
        </w:rPr>
        <w:fldChar w:fldCharType="end"/>
      </w:r>
      <w:r w:rsidR="002B50F1" w:rsidRPr="004D5029">
        <w:rPr>
          <w:lang w:val="en-US"/>
        </w:rPr>
        <w:t>.</w:t>
      </w:r>
    </w:p>
    <w:p w14:paraId="0CCC3CEA" w14:textId="58C010F3" w:rsidR="002B50F1" w:rsidRDefault="00F807E1" w:rsidP="000333B8">
      <w:pPr>
        <w:spacing w:after="0"/>
        <w:rPr>
          <w:lang w:val="en-US"/>
        </w:rPr>
      </w:pPr>
      <w:r>
        <w:rPr>
          <w:b/>
          <w:noProof/>
          <w:lang w:val="en-US"/>
        </w:rPr>
        <w:drawing>
          <wp:inline distT="0" distB="0" distL="0" distR="0" wp14:anchorId="15B0F0F2" wp14:editId="2A27619E">
            <wp:extent cx="5184000" cy="2064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5881"/>
                    <a:stretch/>
                  </pic:blipFill>
                  <pic:spPr bwMode="auto">
                    <a:xfrm>
                      <a:off x="0" y="0"/>
                      <a:ext cx="5184000" cy="2064472"/>
                    </a:xfrm>
                    <a:prstGeom prst="rect">
                      <a:avLst/>
                    </a:prstGeom>
                    <a:noFill/>
                    <a:ln>
                      <a:noFill/>
                    </a:ln>
                    <a:extLst>
                      <a:ext uri="{53640926-AAD7-44D8-BBD7-CCE9431645EC}">
                        <a14:shadowObscured xmlns:a14="http://schemas.microsoft.com/office/drawing/2010/main"/>
                      </a:ext>
                    </a:extLst>
                  </pic:spPr>
                </pic:pic>
              </a:graphicData>
            </a:graphic>
          </wp:inline>
        </w:drawing>
      </w:r>
    </w:p>
    <w:p w14:paraId="3DD59EED" w14:textId="696B8F16" w:rsidR="00FC37C1" w:rsidRPr="004D5029" w:rsidRDefault="002B50F1" w:rsidP="002B50F1">
      <w:pPr>
        <w:pStyle w:val="Caption"/>
        <w:rPr>
          <w:b/>
        </w:rPr>
      </w:pPr>
      <w:bookmarkStart w:id="40" w:name="_Ref535350073"/>
      <w:r w:rsidRPr="004D5029">
        <w:rPr>
          <w:b/>
        </w:rPr>
        <w:t xml:space="preserve">Figure </w:t>
      </w:r>
      <w:r w:rsidRPr="004D5029">
        <w:rPr>
          <w:b/>
        </w:rPr>
        <w:fldChar w:fldCharType="begin"/>
      </w:r>
      <w:r w:rsidRPr="004D5029">
        <w:rPr>
          <w:b/>
        </w:rPr>
        <w:instrText xml:space="preserve"> SEQ Figure \* ARABIC </w:instrText>
      </w:r>
      <w:r w:rsidRPr="004D5029">
        <w:rPr>
          <w:b/>
        </w:rPr>
        <w:fldChar w:fldCharType="separate"/>
      </w:r>
      <w:r w:rsidR="004D5029" w:rsidRPr="004D5029">
        <w:rPr>
          <w:b/>
          <w:noProof/>
        </w:rPr>
        <w:t>3</w:t>
      </w:r>
      <w:r w:rsidRPr="004D5029">
        <w:rPr>
          <w:b/>
        </w:rPr>
        <w:fldChar w:fldCharType="end"/>
      </w:r>
      <w:bookmarkEnd w:id="40"/>
      <w:r w:rsidRPr="004D5029">
        <w:rPr>
          <w:b/>
        </w:rPr>
        <w:t xml:space="preserve"> </w:t>
      </w:r>
      <w:r w:rsidR="00FC37C1" w:rsidRPr="004D5029">
        <w:rPr>
          <w:b/>
        </w:rPr>
        <w:t>Characterisation of copper-doped bioactive glass particles</w:t>
      </w:r>
    </w:p>
    <w:p w14:paraId="1249968E" w14:textId="6E83CBEC" w:rsidR="002B50F1" w:rsidRPr="00FC37C1" w:rsidRDefault="00FC37C1" w:rsidP="00FC37C1">
      <w:pPr>
        <w:pStyle w:val="Caption"/>
      </w:pPr>
      <w:r w:rsidRPr="004D5029">
        <w:rPr>
          <w:bCs w:val="0"/>
        </w:rPr>
        <w:t>(A</w:t>
      </w:r>
      <w:r w:rsidRPr="004D5029">
        <w:t xml:space="preserve">) </w:t>
      </w:r>
      <w:r w:rsidRPr="004D5029">
        <w:rPr>
          <w:noProof/>
        </w:rPr>
        <w:t>The size</w:t>
      </w:r>
      <w:r w:rsidRPr="004D5029">
        <w:t xml:space="preserve"> range of bioactive glass particles (2-110 µm). (B) </w:t>
      </w:r>
      <w:r w:rsidR="002B50F1" w:rsidRPr="004D5029">
        <w:t>X-ray diffraction (XRD) spectrum of copper-doped bioactive glass</w:t>
      </w:r>
      <w:r w:rsidRPr="004D5029">
        <w:t>.</w:t>
      </w:r>
    </w:p>
    <w:p w14:paraId="1EF9B93E" w14:textId="77777777" w:rsidR="00000E06" w:rsidRPr="00D86888" w:rsidRDefault="00000E06" w:rsidP="00F25FD9">
      <w:pPr>
        <w:pStyle w:val="Heading3"/>
        <w:numPr>
          <w:ilvl w:val="1"/>
          <w:numId w:val="23"/>
        </w:numPr>
      </w:pPr>
      <w:bookmarkStart w:id="41" w:name="_Toc510971239"/>
      <w:r w:rsidRPr="00D86888">
        <w:t>Bioactive glass addition resulted in highly porous scaffolds with suitable pore size and increased compressive modulus</w:t>
      </w:r>
      <w:bookmarkEnd w:id="41"/>
    </w:p>
    <w:p w14:paraId="6D442F40" w14:textId="4CE2E43A" w:rsidR="00000E06" w:rsidRDefault="00F93B1F" w:rsidP="001E4D5F">
      <w:pPr>
        <w:spacing w:after="0"/>
      </w:pPr>
      <w:r>
        <w:t xml:space="preserve">Having determined the effect of copper ions alone on osteoblasts and </w:t>
      </w:r>
      <w:r w:rsidRPr="00F93B1F">
        <w:rPr>
          <w:i/>
        </w:rPr>
        <w:t>S. aureus</w:t>
      </w:r>
      <w:r>
        <w:rPr>
          <w:i/>
        </w:rPr>
        <w:t xml:space="preserve"> </w:t>
      </w:r>
      <w:r>
        <w:t xml:space="preserve">in 2D, we next incorporated the copper into bioactive glass, utilising it as a local delivery vehicle within a collagen scaffold. </w:t>
      </w:r>
      <w:r w:rsidR="00000E06" w:rsidRPr="00D86888">
        <w:t xml:space="preserve">It was found that 300% CuBG was the maximum concentration of bioactive glass that could be incorporated into the scaffold as a higher concentration of bioactive glass caused the pH of the slurry to change, causing it to separate. Scanning electron microscope (SEM) images revealed the highly porous, interconnected, open structure of the copper-doped bioactive glass scaffold even at the highest achievable concentration (300% </w:t>
      </w:r>
      <w:r w:rsidR="00000E06" w:rsidRPr="00E2202D">
        <w:t>CuBG) (</w:t>
      </w:r>
      <w:r w:rsidR="000333B8" w:rsidRPr="00E2202D">
        <w:fldChar w:fldCharType="begin"/>
      </w:r>
      <w:r w:rsidR="000333B8" w:rsidRPr="00E2202D">
        <w:instrText xml:space="preserve"> REF _Ref523755017 \h  \* MERGEFORMAT </w:instrText>
      </w:r>
      <w:r w:rsidR="000333B8" w:rsidRPr="00E2202D">
        <w:fldChar w:fldCharType="separate"/>
      </w:r>
      <w:r w:rsidR="004D5029" w:rsidRPr="00D86888">
        <w:rPr>
          <w:b/>
        </w:rPr>
        <w:t xml:space="preserve">Figure </w:t>
      </w:r>
      <w:r w:rsidR="004D5029">
        <w:rPr>
          <w:b/>
          <w:noProof/>
        </w:rPr>
        <w:t>4</w:t>
      </w:r>
      <w:r w:rsidR="000333B8" w:rsidRPr="00E2202D">
        <w:fldChar w:fldCharType="end"/>
      </w:r>
      <w:r w:rsidR="000333B8" w:rsidRPr="00E2202D">
        <w:t>A</w:t>
      </w:r>
      <w:r w:rsidR="00000E06" w:rsidRPr="00E2202D">
        <w:t>). Energy</w:t>
      </w:r>
      <w:r w:rsidR="00000E06" w:rsidRPr="00D86888">
        <w:t xml:space="preserve"> selective backscatter SEM (BSEM) images showed a homogenous distribution of copper-doped bioactive glass in the collagen scaffold, demonstrated by the bright particles dispersed throughout the darker scaffold materials </w:t>
      </w:r>
      <w:r w:rsidR="00000E06" w:rsidRPr="00E2202D">
        <w:t>(</w:t>
      </w:r>
      <w:r w:rsidR="002D7CD2" w:rsidRPr="00E2202D">
        <w:fldChar w:fldCharType="begin"/>
      </w:r>
      <w:r w:rsidR="002D7CD2" w:rsidRPr="00E2202D">
        <w:instrText xml:space="preserve"> REF _Ref523755017 \h </w:instrText>
      </w:r>
      <w:r w:rsidR="00FC37C1" w:rsidRPr="00E2202D">
        <w:instrText xml:space="preserve"> \* MERGEFORMAT </w:instrText>
      </w:r>
      <w:r w:rsidR="002D7CD2" w:rsidRPr="00E2202D">
        <w:fldChar w:fldCharType="separate"/>
      </w:r>
      <w:r w:rsidR="004D5029" w:rsidRPr="00D86888">
        <w:rPr>
          <w:b/>
        </w:rPr>
        <w:t xml:space="preserve">Figure </w:t>
      </w:r>
      <w:r w:rsidR="004D5029">
        <w:rPr>
          <w:b/>
          <w:noProof/>
        </w:rPr>
        <w:t>4</w:t>
      </w:r>
      <w:r w:rsidR="002D7CD2" w:rsidRPr="00E2202D">
        <w:fldChar w:fldCharType="end"/>
      </w:r>
      <w:r w:rsidR="000333B8" w:rsidRPr="00E2202D">
        <w:t>B</w:t>
      </w:r>
      <w:r w:rsidR="00000E06" w:rsidRPr="00E2202D">
        <w:t>). This</w:t>
      </w:r>
      <w:r w:rsidR="00000E06" w:rsidRPr="00D86888">
        <w:t xml:space="preserve"> material contrast is due to the relatively higher atomic number of the copper-doped particles, i.e. Z-contrast. There was a significant, albeit marginal, change in scaffold porosity upon bioactive glass addition; however, even upon the incorporation of 300% CuBG, all scaffolds remain extremely porous at more than 98%, which is greater than the reported suitable porosity required for tissue engineering </w:t>
      </w:r>
      <w:r w:rsidR="00000E06" w:rsidRPr="001E4D5F">
        <w:t>applications (90%) (</w:t>
      </w:r>
      <w:r w:rsidR="002D7CD2" w:rsidRPr="001E4D5F">
        <w:fldChar w:fldCharType="begin"/>
      </w:r>
      <w:r w:rsidR="002D7CD2" w:rsidRPr="001E4D5F">
        <w:instrText xml:space="preserve"> REF _Ref523755017 \h </w:instrText>
      </w:r>
      <w:r w:rsidR="00FC37C1" w:rsidRPr="001E4D5F">
        <w:instrText xml:space="preserve"> \* MERGEFORMAT </w:instrText>
      </w:r>
      <w:r w:rsidR="002D7CD2" w:rsidRPr="001E4D5F">
        <w:fldChar w:fldCharType="separate"/>
      </w:r>
      <w:r w:rsidR="004D5029" w:rsidRPr="00D86888">
        <w:rPr>
          <w:b/>
        </w:rPr>
        <w:t xml:space="preserve">Figure </w:t>
      </w:r>
      <w:r w:rsidR="004D5029">
        <w:rPr>
          <w:b/>
          <w:noProof/>
        </w:rPr>
        <w:t>4</w:t>
      </w:r>
      <w:r w:rsidR="002D7CD2" w:rsidRPr="001E4D5F">
        <w:fldChar w:fldCharType="end"/>
      </w:r>
      <w:r w:rsidR="000333B8" w:rsidRPr="001E4D5F">
        <w:t>C</w:t>
      </w:r>
      <w:r w:rsidR="00000E06" w:rsidRPr="001E4D5F">
        <w:t>)</w:t>
      </w:r>
      <w:r w:rsidR="000D1E35" w:rsidRPr="00D86888">
        <w:t xml:space="preserve"> </w:t>
      </w:r>
      <w:r w:rsidR="000D1E35" w:rsidRPr="00D86888">
        <w:fldChar w:fldCharType="begin" w:fldLock="1"/>
      </w:r>
      <w:r w:rsidR="002F5C61">
        <w:instrText>ADDIN CSL_CITATION {"citationItems":[{"id":"ITEM-1","itemData":{"DOI":"10.1089/107632701753213183","ISSN":"1076-3279","author":[{"dropping-particle":"","family":"Zeltinger","given":"Joan","non-dropping-particle":"","parse-names":false,"suffix":""},{"dropping-particle":"","family":"Sherwood","given":"Jill K.","non-dropping-particle":"","parse-names":false,"suffix":""},{"dropping-particle":"","family":"Graham","given":"Dionne A.","non-dropping-particle":"","parse-names":false,"suffix":""},{"dropping-particle":"","family":"Müeller","given":"Ralph","non-dropping-particle":"","parse-names":false,"suffix":""},{"dropping-particle":"","family":"Griffith","given":"Linda G.","non-dropping-particle":"","parse-names":false,"suffix":""}],"container-title":"Tissue Engineering","id":"ITEM-1","issue":"5","issued":{"date-parts":[["2001"]]},"page":"557-572","title":"Effect of pore size and void fraction on cellular adhesion, proliferation, and matrix deposition","type":"article-journal","volume":"7"},"uris":["http://www.mendeley.com/documents/?uuid=97788a01-9351-3983-ac03-f493bf43b705"]}],"mendeley":{"formattedCitation":"[50]","plainTextFormattedCitation":"[50]","previouslyFormattedCitation":"[50]"},"properties":{"noteIndex":0},"schema":"https://github.com/citation-style-language/schema/raw/master/csl-citation.json"}</w:instrText>
      </w:r>
      <w:r w:rsidR="000D1E35" w:rsidRPr="00D86888">
        <w:fldChar w:fldCharType="separate"/>
      </w:r>
      <w:r w:rsidR="003A62BC" w:rsidRPr="003A62BC">
        <w:rPr>
          <w:noProof/>
        </w:rPr>
        <w:t>[50]</w:t>
      </w:r>
      <w:r w:rsidR="000D1E35" w:rsidRPr="00D86888">
        <w:fldChar w:fldCharType="end"/>
      </w:r>
      <w:r w:rsidR="000D1E35" w:rsidRPr="00D86888">
        <w:t>.</w:t>
      </w:r>
      <w:r w:rsidR="00000E06" w:rsidRPr="00D86888">
        <w:t xml:space="preserve"> The addition of bioactive glass did not significantly affect scaffold pore size, with all </w:t>
      </w:r>
      <w:r w:rsidR="00000E06" w:rsidRPr="00D86888">
        <w:lastRenderedPageBreak/>
        <w:t>scaffolds achieving a mean pore size ranging from 68-</w:t>
      </w:r>
      <w:r w:rsidR="00000E06" w:rsidRPr="001E4D5F">
        <w:t>79 μm (</w:t>
      </w:r>
      <w:r w:rsidR="002D7CD2" w:rsidRPr="001E4D5F">
        <w:fldChar w:fldCharType="begin"/>
      </w:r>
      <w:r w:rsidR="002D7CD2" w:rsidRPr="001E4D5F">
        <w:instrText xml:space="preserve"> REF _Ref523755017 \h </w:instrText>
      </w:r>
      <w:r w:rsidR="00FC37C1" w:rsidRPr="001E4D5F">
        <w:instrText xml:space="preserve"> \* MERGEFORMAT </w:instrText>
      </w:r>
      <w:r w:rsidR="002D7CD2" w:rsidRPr="001E4D5F">
        <w:fldChar w:fldCharType="separate"/>
      </w:r>
      <w:r w:rsidR="004D5029" w:rsidRPr="00D86888">
        <w:rPr>
          <w:b/>
        </w:rPr>
        <w:t xml:space="preserve">Figure </w:t>
      </w:r>
      <w:r w:rsidR="004D5029">
        <w:rPr>
          <w:b/>
          <w:noProof/>
        </w:rPr>
        <w:t>4</w:t>
      </w:r>
      <w:r w:rsidR="002D7CD2" w:rsidRPr="001E4D5F">
        <w:fldChar w:fldCharType="end"/>
      </w:r>
      <w:r w:rsidR="000333B8" w:rsidRPr="001E4D5F">
        <w:t>D</w:t>
      </w:r>
      <w:r w:rsidR="00000E06" w:rsidRPr="001E4D5F">
        <w:t>), a suitable</w:t>
      </w:r>
      <w:r w:rsidR="00000E06" w:rsidRPr="00D86888">
        <w:t xml:space="preserve"> size for osteogenesis and angiogenesis in collagen-based scaffolds </w:t>
      </w:r>
      <w:r w:rsidR="000D1E35" w:rsidRPr="00D86888">
        <w:fldChar w:fldCharType="begin" w:fldLock="1"/>
      </w:r>
      <w:r w:rsidR="002F5C61">
        <w:instrText>ADDIN CSL_CITATION {"citationItems":[{"id":"ITEM-1","itemData":{"DOI":"10.1016/j.biomaterials.2003.10.086","ISBN":"0142-9612 (Print)\\r0142-9612 (Linking)","ISSN":"01429612","PMID":"15046889","abstract":"A novel micro-cellular polymer with a well-defined and uniform micro-architecture has been developed as a three-dimensional support matrix for in vitro tissue engineering applications. This material is manufactured through a high internal phase emulsion (HIPE) polymerization route and may be modified with hydroxyapatite. The generic form of the support is known as PolyHIPE Polymer (PHP). By changing the chemical composition of the emulsion and the processing conditions, the pore size can be altered from sub-micron range to a few hundred microns and the porosity varied from 70% to 97%. Our work has investigated the use of this micro-porous polymer as a biomaterial to support the growth of osteoblasts, the bone forming cells in vitro. Three groups of polymers were used that had pore sizes of 40, 60 and 100μm. Results demonstrated in vitro cell-polymer compatibility, with osteoblasts forming multicellular layers on the polymer surface and also migrating to a maximum depth of 1.4mm inside the scaffold after 35 days in culture. PHP was also able to support the differentiation of osteoblasts and the production of a bone-like matrix. The effect of modifying the polymer with hydroxyapatite was also studied and showed that there was a significant increase in osteoblast numbers penetrating into the polymer. There were few differences, between the pore sizes studied, on the overall penetration of osteoblasts into the polymer but the rate of movement into 100μm PHP was significantly higher compared to the other sizes investigated. This study shows that osteoblasts seeded onto PHP demonstrate cellular attachment, proliferation and ingrowth leading to the support of an osteoblastic phenotype. Therefore this highly porous scaffold has a potential for bone tissue engineering. © 2003 Elsevier Ltd. All rights reserved.","author":[{"dropping-particle":"","family":"Akay","given":"G.","non-dropping-particle":"","parse-names":false,"suffix":""},{"dropping-particle":"","family":"Birch","given":"M. A.","non-dropping-particle":"","parse-names":false,"suffix":""},{"dropping-particle":"","family":"Bokhari","given":"M. A.","non-dropping-particle":"","parse-names":false,"suffix":""}],"container-title":"Biomaterials","id":"ITEM-1","issue":"18","issued":{"date-parts":[["2004"]]},"page":"3991-4000","title":"Microcellular polyHIPE polymer supports osteoblast growth and bone formation in vitro","type":"article-journal","volume":"25"},"uris":["http://www.mendeley.com/documents/?uuid=e99f119f-0075-4ad0-9f77-b0b122009ece"]},{"id":"ITEM-2","itemData":{"DOI":"10.1073/pnas.1006442107","ISBN":"1091-6490 (Electronic) 0027-8424 (Linking)","ISSN":"1091-6490","PMID":"20696917","abstract":"We demonstrate here a cardiac tissue-engineering strategy addressing multicellular organization, integration into host myocardium, and directional cues to reconstruct the functional architecture of heart muscle. Microtemplating is used to shape poly(2-hydroxyethyl methacrylate-co-methacrylic acid) hydrogel into a tissue-engineering scaffold with architectures driving heart tissue integration. The construct contains parallel channels to organize cardiomyocyte bundles, supported by micrometer-sized, spherical, interconnected pores that enhance angiogenesis while reducing scarring. Surface-modified scaffolds were seeded with human ES cell-derived cardiomyocytes and cultured in vitro. Cardiomyocytes survived and proliferated for 2 wk in scaffolds, reaching adult heart densities. Cardiac implantation of acellular scaffolds with pore diameters of 30-40 microm showed angiogenesis and reduced fibrotic response, coinciding with a shift in macrophage phenotype toward the M2 state. This work establishes a foundation for spatially controlled cardiac tissue engineering by providing discrete compartments for cardiomyocytes and stroma in a scaffold that enhances vascularization and integration while controlling the inflammatory response.","author":[{"dropping-particle":"","family":"Madden","given":"Lauran R","non-dropping-particle":"","parse-names":false,"suffix":""},{"dropping-particle":"","family":"Mortisen","given":"Derek J","non-dropping-particle":"","parse-names":false,"suffix":""},{"dropping-particle":"","family":"Sussman","given":"Eric M","non-dropping-particle":"","parse-names":false,"suffix":""},{"dropping-particle":"","family":"Dupras","given":"Sarah K","non-dropping-particle":"","parse-names":false,"suffix":""},{"dropping-particle":"","family":"Fugate","given":"James A","non-dropping-particle":"","parse-names":false,"suffix":""},{"dropping-particle":"","family":"Cuy","given":"Janet L","non-dropping-particle":"","parse-names":false,"suffix":""},{"dropping-particle":"","family":"Hauch","given":"Kip D","non-dropping-particle":"","parse-names":false,"suffix":""},{"dropping-particle":"","family":"Laflamme","given":"Michael A","non-dropping-particle":"","parse-names":false,"suffix":""},{"dropping-particle":"","family":"Murry","given":"Charles E","non-dropping-particle":"","parse-names":false,"suffix":""},{"dropping-particle":"","family":"Ratner","given":"Buddy D","non-dropping-particle":"","parse-names":false,"suffix":""}],"container-title":"Proceedings of the National Academy of Sciences of the United States of America","id":"ITEM-2","issue":"34","issued":{"date-parts":[["2010"]]},"page":"15211-6","title":"Proangiogenic scaffolds as functional templates for cardiac tissue engineering.","type":"article-journal","volume":"107"},"uris":["http://www.mendeley.com/documents/?uuid=6f662e28-cf1a-4c6c-8253-53b2be46633f"]},{"id":"ITEM-3","itemData":{"DOI":"10.1089/ten.TEB.2012.0437","ISBN":"1937-3376 (Electronic)\\r1937-3368 (Linking)","ISSN":"1937-3376","PMID":"23672709","abstract":"Tissue engineering applications commonly encompass the use of three-dimensional (3D) scaffolds to provide a suitable microenvironment for the incorporation of cells or growth factors to regenerate damaged tissues or organs. These scaffolds serve to mimic the actual in vivo microenvironment where cells interact and behave according to the mechanical cues obtained from the surrounding 3D environment. Hence, the material properties of the scaffolds are vital in determining cellular response and fate. These 3D scaffolds are generally highly porous with interconnected pore networks to facilitate nutrient and oxygen diffusion and waste removal. This review focuses on the various fabrication techniques (e.g., conventional and rapid prototyping methods) that have been employed to fabricate 3D scaffolds of different pore sizes and porosity. The different pore size and porosity measurement methods will also be discussed. Scaffolds with graded porosity have also been studied for their ability to better represent the actual in vivo situation where cells are exposed to layers of different tissues with varying properties. In addition, the ability of pore size and porosity of scaffolds to direct cellular responses and alter the mechanical properties of scaffolds will be reviewed, followed by a look at nature's own scaffold, the extracellular matrix. Overall, the limitations of current scaffold fabrication approaches for tissue engineering applications and some novel and promising alternatives will be highlighted.","author":[{"dropping-particle":"","family":"Loh","given":"Qiu Li","non-dropping-particle":"","parse-names":false,"suffix":""},{"dropping-particle":"","family":"Choong","given":"Cleo","non-dropping-particle":"","parse-names":false,"suffix":""}],"container-title":"Tissue engineering. Part B, Reviews","id":"ITEM-3","issue":"6","issued":{"date-parts":[["2013"]]},"page":"485-502","title":"Three-dimensional scaffolds for tissue engineering applications: role of porosity and pore size","type":"article-journal","volume":"19"},"uris":["http://www.mendeley.com/documents/?uuid=2956945c-667e-43ce-89da-013686f09331"]}],"mendeley":{"formattedCitation":"[51–53]","plainTextFormattedCitation":"[51–53]","previouslyFormattedCitation":"[51–53]"},"properties":{"noteIndex":0},"schema":"https://github.com/citation-style-language/schema/raw/master/csl-citation.json"}</w:instrText>
      </w:r>
      <w:r w:rsidR="000D1E35" w:rsidRPr="00D86888">
        <w:fldChar w:fldCharType="separate"/>
      </w:r>
      <w:r w:rsidR="003A62BC" w:rsidRPr="003A62BC">
        <w:rPr>
          <w:noProof/>
        </w:rPr>
        <w:t>[51–53]</w:t>
      </w:r>
      <w:r w:rsidR="000D1E35" w:rsidRPr="00D86888">
        <w:fldChar w:fldCharType="end"/>
      </w:r>
      <w:r w:rsidR="000D1E35" w:rsidRPr="00D86888">
        <w:t>.</w:t>
      </w:r>
      <w:r w:rsidR="00000E06" w:rsidRPr="00D86888">
        <w:t xml:space="preserve"> Notably, increasing bioactive glass concentration increased scaffold compressive modulus with a linearly increasing trend (r = 0.9991), with the </w:t>
      </w:r>
      <w:r w:rsidR="00F72CC6">
        <w:t>100% CuBG-CS increasing compressive modulus</w:t>
      </w:r>
      <w:r w:rsidR="003C3F75">
        <w:t xml:space="preserve"> </w:t>
      </w:r>
      <w:r w:rsidR="00F72CC6">
        <w:t>by 1.6-fold</w:t>
      </w:r>
      <w:r w:rsidR="003C3F75">
        <w:t xml:space="preserve"> and </w:t>
      </w:r>
      <w:r w:rsidR="00000E06" w:rsidRPr="00D86888">
        <w:t xml:space="preserve">300% CuBG-CS significantly increasing compressive modulus (p &lt; 0.05) by 2.7-fold versus the </w:t>
      </w:r>
      <w:r w:rsidR="00000E06" w:rsidRPr="001E4D5F">
        <w:t xml:space="preserve">collagen control </w:t>
      </w:r>
      <w:r w:rsidR="008D4538" w:rsidRPr="001E4D5F">
        <w:t>(</w:t>
      </w:r>
      <w:r w:rsidR="002D7CD2" w:rsidRPr="001E4D5F">
        <w:fldChar w:fldCharType="begin"/>
      </w:r>
      <w:r w:rsidR="002D7CD2" w:rsidRPr="001E4D5F">
        <w:instrText xml:space="preserve"> REF _Ref523755017 \h </w:instrText>
      </w:r>
      <w:r w:rsidR="00FC37C1" w:rsidRPr="001E4D5F">
        <w:instrText xml:space="preserve"> \* MERGEFORMAT </w:instrText>
      </w:r>
      <w:r w:rsidR="002D7CD2" w:rsidRPr="001E4D5F">
        <w:fldChar w:fldCharType="separate"/>
      </w:r>
      <w:r w:rsidR="004D5029" w:rsidRPr="00D86888">
        <w:rPr>
          <w:b/>
        </w:rPr>
        <w:t xml:space="preserve">Figure </w:t>
      </w:r>
      <w:r w:rsidR="004D5029">
        <w:rPr>
          <w:b/>
          <w:noProof/>
        </w:rPr>
        <w:t>4</w:t>
      </w:r>
      <w:r w:rsidR="002D7CD2" w:rsidRPr="001E4D5F">
        <w:fldChar w:fldCharType="end"/>
      </w:r>
      <w:r w:rsidR="000333B8" w:rsidRPr="001E4D5F">
        <w:t>E</w:t>
      </w:r>
      <w:r w:rsidR="00000E06" w:rsidRPr="001E4D5F">
        <w:t>).</w:t>
      </w:r>
      <w:r w:rsidR="00F72CC6">
        <w:t xml:space="preserve"> </w:t>
      </w:r>
    </w:p>
    <w:p w14:paraId="45B5F888" w14:textId="1BDEF674" w:rsidR="00F97B28" w:rsidRPr="00D86888" w:rsidRDefault="00F239CD" w:rsidP="001E4D5F">
      <w:pPr>
        <w:spacing w:after="0"/>
        <w:jc w:val="center"/>
      </w:pPr>
      <w:r>
        <w:rPr>
          <w:noProof/>
          <w:lang w:val="en-US"/>
        </w:rPr>
        <w:drawing>
          <wp:inline distT="0" distB="0" distL="0" distR="0" wp14:anchorId="5ACCEC4F" wp14:editId="2CEDBC94">
            <wp:extent cx="4968000" cy="5309562"/>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000" cy="5309562"/>
                    </a:xfrm>
                    <a:prstGeom prst="rect">
                      <a:avLst/>
                    </a:prstGeom>
                    <a:noFill/>
                  </pic:spPr>
                </pic:pic>
              </a:graphicData>
            </a:graphic>
          </wp:inline>
        </w:drawing>
      </w:r>
    </w:p>
    <w:p w14:paraId="502240C2" w14:textId="57416A2F" w:rsidR="002D7CD2" w:rsidRPr="00D86888" w:rsidRDefault="002D7CD2" w:rsidP="002D7CD2">
      <w:pPr>
        <w:pStyle w:val="Caption"/>
        <w:rPr>
          <w:b/>
        </w:rPr>
      </w:pPr>
      <w:bookmarkStart w:id="42" w:name="_Ref523755017"/>
      <w:bookmarkStart w:id="43" w:name="_Ref510968608"/>
      <w:bookmarkStart w:id="44" w:name="_Toc510969632"/>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0214DB">
        <w:rPr>
          <w:b/>
          <w:noProof/>
        </w:rPr>
        <w:t>4</w:t>
      </w:r>
      <w:r w:rsidRPr="00D86888">
        <w:rPr>
          <w:b/>
        </w:rPr>
        <w:fldChar w:fldCharType="end"/>
      </w:r>
      <w:bookmarkEnd w:id="42"/>
      <w:r w:rsidRPr="00D86888">
        <w:rPr>
          <w:b/>
        </w:rPr>
        <w:t xml:space="preserve"> Effect of bioactive glass addition on scaffold microarchitectural and mechanical properties</w:t>
      </w:r>
    </w:p>
    <w:bookmarkEnd w:id="43"/>
    <w:bookmarkEnd w:id="44"/>
    <w:p w14:paraId="4D1B22F3" w14:textId="7902EED6" w:rsidR="00A6300D" w:rsidRPr="00D86888" w:rsidRDefault="000333B8" w:rsidP="00A6300D">
      <w:pPr>
        <w:pStyle w:val="Caption"/>
      </w:pPr>
      <w:r>
        <w:t>(A</w:t>
      </w:r>
      <w:r w:rsidR="00A6300D" w:rsidRPr="00D86888">
        <w:t xml:space="preserve">) SEM image showing the </w:t>
      </w:r>
      <w:r w:rsidR="00A6300D" w:rsidRPr="00D86888">
        <w:rPr>
          <w:noProof/>
        </w:rPr>
        <w:t>highly</w:t>
      </w:r>
      <w:r w:rsidR="00A6300D" w:rsidRPr="00D86888">
        <w:t xml:space="preserve"> porous open structure of scaffold containing the highest concentration of bioactive glass (300% </w:t>
      </w:r>
      <w:r w:rsidR="00A6300D" w:rsidRPr="00D86888">
        <w:rPr>
          <w:noProof/>
        </w:rPr>
        <w:t>CuBG</w:t>
      </w:r>
      <w:r w:rsidR="00A6300D" w:rsidRPr="00D86888">
        <w:t>). (</w:t>
      </w:r>
      <w:r>
        <w:t>B</w:t>
      </w:r>
      <w:r w:rsidR="00A6300D" w:rsidRPr="00D86888">
        <w:t xml:space="preserve">) </w:t>
      </w:r>
      <w:r w:rsidR="00A6300D" w:rsidRPr="00D86888">
        <w:rPr>
          <w:noProof/>
        </w:rPr>
        <w:t>Energy-selective</w:t>
      </w:r>
      <w:r w:rsidR="00A6300D" w:rsidRPr="00D86888">
        <w:t xml:space="preserve"> backscatter SEM image showing homogeneously distributed bioactive glass. Note: material contrast images highlighting bright copper-doped particles compared to the darker collagen background. (</w:t>
      </w:r>
      <w:r>
        <w:t>C</w:t>
      </w:r>
      <w:r w:rsidR="00A6300D" w:rsidRPr="00D86888">
        <w:t>) All scaffolds remain highly porous (&gt;98%) upon incorporation of copper-doped bioactive glass. (</w:t>
      </w:r>
      <w:r>
        <w:t>D</w:t>
      </w:r>
      <w:r w:rsidR="00A6300D" w:rsidRPr="00D86888">
        <w:t>) Copper-doped bioactive glass addition does not significantly alter scaffold pore size in comparison to the collagen control. (</w:t>
      </w:r>
      <w:r>
        <w:t>E</w:t>
      </w:r>
      <w:r w:rsidR="00A6300D" w:rsidRPr="00D86888">
        <w:t xml:space="preserve">) Increasing copper-doped bioactive glass addition increases scaffold compressive modulus with a linear trend, with 300% </w:t>
      </w:r>
      <w:r w:rsidR="00A6300D" w:rsidRPr="00D86888">
        <w:rPr>
          <w:noProof/>
        </w:rPr>
        <w:t>CuBG</w:t>
      </w:r>
      <w:r w:rsidR="00A6300D" w:rsidRPr="00D86888">
        <w:t>-CS having a significantly higher compressive modulus than the collagen control</w:t>
      </w:r>
      <w:r w:rsidR="004B41EF">
        <w:t>.</w:t>
      </w:r>
      <w:r w:rsidR="00A6300D" w:rsidRPr="00D86888">
        <w:t xml:space="preserve"> Note: scale bars 100 µm. Data presented as mean ± SD, n=3, p-values are calculated using one-way ANOVA with Bonferroni </w:t>
      </w:r>
      <w:r w:rsidR="00A6300D" w:rsidRPr="00D86888">
        <w:rPr>
          <w:noProof/>
        </w:rPr>
        <w:t>post-hoc</w:t>
      </w:r>
      <w:r w:rsidR="00A6300D" w:rsidRPr="00D86888">
        <w:t xml:space="preserve"> test, all statistical significance shown in comparison to collagen control unless otherwise stated, *p &lt; 0.05, **p &lt; 0.01, ***p &lt; 0.001.</w:t>
      </w:r>
    </w:p>
    <w:p w14:paraId="2518A144" w14:textId="77777777" w:rsidR="00000E06" w:rsidRPr="00D86888" w:rsidRDefault="008D4538" w:rsidP="008D4538">
      <w:r w:rsidRPr="00D86888">
        <w:lastRenderedPageBreak/>
        <w:t xml:space="preserve">Having determined that collagen scaffolds functionalised with copper-doped bioactive glass remain highly porous and show increased mechanical properties, we next sought to determine the scaffold’s principal function – its antibacterial activity against </w:t>
      </w:r>
      <w:r w:rsidRPr="00D86888">
        <w:rPr>
          <w:i/>
        </w:rPr>
        <w:t>S. aureus</w:t>
      </w:r>
      <w:r w:rsidRPr="00D86888">
        <w:t>.</w:t>
      </w:r>
    </w:p>
    <w:p w14:paraId="3CEF7124" w14:textId="77777777" w:rsidR="00000E06" w:rsidRPr="00D86888" w:rsidRDefault="00395334" w:rsidP="00F25FD9">
      <w:pPr>
        <w:pStyle w:val="Heading3"/>
        <w:numPr>
          <w:ilvl w:val="1"/>
          <w:numId w:val="23"/>
        </w:numPr>
        <w:rPr>
          <w:i/>
        </w:rPr>
      </w:pPr>
      <w:bookmarkStart w:id="45" w:name="_Toc510971240"/>
      <w:r w:rsidRPr="000214DB">
        <w:t>Copper-doped</w:t>
      </w:r>
      <w:r w:rsidRPr="00D86888">
        <w:t xml:space="preserve"> bioactive glass scaffolds reduce the viability of </w:t>
      </w:r>
      <w:r w:rsidRPr="00D86888">
        <w:rPr>
          <w:i/>
        </w:rPr>
        <w:t>Staphylococcus aureus</w:t>
      </w:r>
      <w:bookmarkEnd w:id="45"/>
    </w:p>
    <w:p w14:paraId="48D437D6" w14:textId="56504840" w:rsidR="00605610" w:rsidRDefault="00395334" w:rsidP="00395334">
      <w:r w:rsidRPr="00D86888">
        <w:t>Of the concentrations tested, 300% CuBG scaffolds released the highest dose of copper ions within 24 hours (</w:t>
      </w:r>
      <w:r w:rsidR="002D7CD2" w:rsidRPr="00D86888">
        <w:fldChar w:fldCharType="begin"/>
      </w:r>
      <w:r w:rsidR="002D7CD2" w:rsidRPr="00D86888">
        <w:instrText xml:space="preserve"> REF _Ref523755089 \h </w:instrText>
      </w:r>
      <w:r w:rsidR="002D7CD2" w:rsidRPr="00D86888">
        <w:fldChar w:fldCharType="separate"/>
      </w:r>
      <w:r w:rsidR="004D5029" w:rsidRPr="00D86888">
        <w:rPr>
          <w:b/>
        </w:rPr>
        <w:t xml:space="preserve">Figure </w:t>
      </w:r>
      <w:r w:rsidR="004D5029">
        <w:rPr>
          <w:b/>
          <w:noProof/>
        </w:rPr>
        <w:t>5</w:t>
      </w:r>
      <w:r w:rsidR="002D7CD2" w:rsidRPr="00D86888">
        <w:fldChar w:fldCharType="end"/>
      </w:r>
      <w:r w:rsidRPr="00D86888">
        <w:t xml:space="preserve">A) which resulted in a significantly increased antibacterial activity versus all other groups, inhibiting </w:t>
      </w:r>
      <w:r w:rsidRPr="00D86888">
        <w:rPr>
          <w:i/>
        </w:rPr>
        <w:t>S. aureus</w:t>
      </w:r>
      <w:r w:rsidRPr="00D86888">
        <w:t xml:space="preserve"> growth by up to 66% (</w:t>
      </w:r>
      <w:r w:rsidR="002D7CD2" w:rsidRPr="00D86888">
        <w:fldChar w:fldCharType="begin"/>
      </w:r>
      <w:r w:rsidR="002D7CD2" w:rsidRPr="00D86888">
        <w:instrText xml:space="preserve"> REF _Ref523755089 \h </w:instrText>
      </w:r>
      <w:r w:rsidR="002D7CD2" w:rsidRPr="00D86888">
        <w:fldChar w:fldCharType="separate"/>
      </w:r>
      <w:r w:rsidR="004D5029" w:rsidRPr="00D86888">
        <w:rPr>
          <w:b/>
        </w:rPr>
        <w:t xml:space="preserve">Figure </w:t>
      </w:r>
      <w:r w:rsidR="004D5029">
        <w:rPr>
          <w:b/>
          <w:noProof/>
        </w:rPr>
        <w:t>5</w:t>
      </w:r>
      <w:r w:rsidR="002D7CD2" w:rsidRPr="00D86888">
        <w:fldChar w:fldCharType="end"/>
      </w:r>
      <w:r w:rsidRPr="00D86888">
        <w:t xml:space="preserve">B) (p &lt; 0.01 &amp; p &lt; 0.001). A time-kill assay shows that 100% CuBG-CS also significantly delayed the growth of </w:t>
      </w:r>
      <w:r w:rsidRPr="00D86888">
        <w:rPr>
          <w:i/>
        </w:rPr>
        <w:t>S. aureus</w:t>
      </w:r>
      <w:r w:rsidRPr="00D86888">
        <w:t xml:space="preserve"> at 7 hours (p &lt; 0.05) and 300% CuBG-CS significantly delayed the growth of </w:t>
      </w:r>
      <w:r w:rsidRPr="00D86888">
        <w:rPr>
          <w:i/>
        </w:rPr>
        <w:t>S. aureus</w:t>
      </w:r>
      <w:r w:rsidRPr="00D86888">
        <w:t xml:space="preserve"> from 7 to 24 hours (p &lt; 0.001) in comparison to the collagen control (</w:t>
      </w:r>
      <w:r w:rsidR="002D7CD2" w:rsidRPr="00D86888">
        <w:fldChar w:fldCharType="begin"/>
      </w:r>
      <w:r w:rsidR="002D7CD2" w:rsidRPr="00D86888">
        <w:instrText xml:space="preserve"> REF _Ref523755089 \h </w:instrText>
      </w:r>
      <w:r w:rsidR="002D7CD2" w:rsidRPr="00D86888">
        <w:fldChar w:fldCharType="separate"/>
      </w:r>
      <w:r w:rsidR="004D5029" w:rsidRPr="00D86888">
        <w:rPr>
          <w:b/>
        </w:rPr>
        <w:t xml:space="preserve">Figure </w:t>
      </w:r>
      <w:r w:rsidR="004D5029">
        <w:rPr>
          <w:b/>
          <w:noProof/>
        </w:rPr>
        <w:t>5</w:t>
      </w:r>
      <w:r w:rsidR="002D7CD2" w:rsidRPr="00D86888">
        <w:fldChar w:fldCharType="end"/>
      </w:r>
      <w:r w:rsidRPr="00D86888">
        <w:t>C).</w:t>
      </w:r>
    </w:p>
    <w:p w14:paraId="58C833BA" w14:textId="77777777" w:rsidR="00605610" w:rsidRDefault="00605610">
      <w:pPr>
        <w:spacing w:after="200" w:line="276" w:lineRule="auto"/>
        <w:jc w:val="left"/>
      </w:pPr>
      <w:r>
        <w:br w:type="page"/>
      </w:r>
    </w:p>
    <w:p w14:paraId="5C1BB823" w14:textId="3BBD2837" w:rsidR="00605610" w:rsidRPr="00D86888" w:rsidRDefault="00605610" w:rsidP="00605610">
      <w:pPr>
        <w:jc w:val="center"/>
      </w:pPr>
      <w:r>
        <w:rPr>
          <w:noProof/>
          <w:lang w:val="en-US"/>
        </w:rPr>
        <w:lastRenderedPageBreak/>
        <w:drawing>
          <wp:inline distT="0" distB="0" distL="0" distR="0" wp14:anchorId="39DB2A99" wp14:editId="15236316">
            <wp:extent cx="3723325" cy="50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612" r="7865"/>
                    <a:stretch/>
                  </pic:blipFill>
                  <pic:spPr bwMode="auto">
                    <a:xfrm>
                      <a:off x="0" y="0"/>
                      <a:ext cx="3723325"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0A2ECCB1" w14:textId="76527F5B" w:rsidR="002D7CD2" w:rsidRPr="00D86888" w:rsidRDefault="002D7CD2" w:rsidP="002D7CD2">
      <w:pPr>
        <w:pStyle w:val="Caption"/>
        <w:rPr>
          <w:b/>
        </w:rPr>
      </w:pPr>
      <w:bookmarkStart w:id="46" w:name="_Ref523755089"/>
      <w:bookmarkStart w:id="47" w:name="_Ref510968789"/>
      <w:bookmarkStart w:id="48" w:name="_Toc510969633"/>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5</w:t>
      </w:r>
      <w:r w:rsidRPr="00D86888">
        <w:rPr>
          <w:b/>
        </w:rPr>
        <w:fldChar w:fldCharType="end"/>
      </w:r>
      <w:bookmarkEnd w:id="46"/>
      <w:r w:rsidRPr="00D86888">
        <w:rPr>
          <w:b/>
        </w:rPr>
        <w:t xml:space="preserve"> Effect of bioactive glass addition on scaffold antibacterial activity</w:t>
      </w:r>
    </w:p>
    <w:bookmarkEnd w:id="47"/>
    <w:bookmarkEnd w:id="48"/>
    <w:p w14:paraId="406F58D9" w14:textId="77777777" w:rsidR="00A6300D" w:rsidRPr="00D86888" w:rsidRDefault="00A6300D" w:rsidP="00A6300D">
      <w:pPr>
        <w:pStyle w:val="Caption"/>
      </w:pPr>
      <w:r w:rsidRPr="00D86888">
        <w:t xml:space="preserve">(A) Copper ion release from copper-doped bioactive glass scaffolds over 7 days. (B) Effect of incorporation of copper-doped bioactive glass in collagen scaffolds on the inhibition of </w:t>
      </w:r>
      <w:r w:rsidRPr="00D86888">
        <w:rPr>
          <w:i/>
          <w:iCs/>
        </w:rPr>
        <w:t xml:space="preserve">S. aureus </w:t>
      </w:r>
      <w:r w:rsidRPr="00D86888">
        <w:t>Newman growth after 1, 3, and 7 days (normalized to regular BHI growth broth without scaffold inoculated with</w:t>
      </w:r>
      <w:r w:rsidRPr="00D86888">
        <w:rPr>
          <w:i/>
        </w:rPr>
        <w:t xml:space="preserve"> S. aureus</w:t>
      </w:r>
      <w:r w:rsidRPr="00D86888">
        <w:t xml:space="preserve">). (C) Time-kill graph for copper-doped bioactive glass scaffolds. Data presented as mean ± SD, n=3, p-values are calculated using one-way ANOVA with Bonferroni </w:t>
      </w:r>
      <w:r w:rsidRPr="00D86888">
        <w:rPr>
          <w:noProof/>
        </w:rPr>
        <w:t>post-hoc</w:t>
      </w:r>
      <w:r w:rsidRPr="00D86888">
        <w:t xml:space="preserve"> test, all statistical significance shown in comparison to collagen control unless otherwise stated, *p &lt; 0.05, **p &lt; 0.01, ***p &lt; 0.001.</w:t>
      </w:r>
    </w:p>
    <w:p w14:paraId="0AB05FAB" w14:textId="1F6B573E" w:rsidR="00A6300D" w:rsidRPr="00D86888" w:rsidRDefault="00A6300D" w:rsidP="00A6300D">
      <w:r w:rsidRPr="00D86888">
        <w:t xml:space="preserve">These analyses demonstrate the desired antibacterial effect of the 100% and 300% </w:t>
      </w:r>
      <w:r w:rsidRPr="00D86888">
        <w:rPr>
          <w:noProof/>
        </w:rPr>
        <w:t>CuBG</w:t>
      </w:r>
      <w:r w:rsidRPr="00D86888">
        <w:t xml:space="preserve">-CS. Therefore, the osteogenic and angiogenic potential of the 100% and 300% </w:t>
      </w:r>
      <w:r w:rsidRPr="00D86888">
        <w:rPr>
          <w:noProof/>
        </w:rPr>
        <w:t>CuBG</w:t>
      </w:r>
      <w:r w:rsidRPr="00D86888">
        <w:t xml:space="preserve">-CS (and 100% and 300% BG-CS controls, i.e., non-copper doped) was next examined. </w:t>
      </w:r>
      <w:r w:rsidR="00554742">
        <w:t>The</w:t>
      </w:r>
      <w:r w:rsidRPr="00D86888">
        <w:t xml:space="preserve"> 20% </w:t>
      </w:r>
      <w:r w:rsidRPr="00D86888">
        <w:rPr>
          <w:noProof/>
        </w:rPr>
        <w:t>CuBG</w:t>
      </w:r>
      <w:r w:rsidRPr="00D86888">
        <w:t>-CS was discontinued from further studies from here on due to its lack of antibacterial properties.</w:t>
      </w:r>
    </w:p>
    <w:p w14:paraId="2B52C6A4" w14:textId="77777777" w:rsidR="00000E06" w:rsidRPr="00D86888" w:rsidRDefault="006A27C8" w:rsidP="00F25FD9">
      <w:pPr>
        <w:pStyle w:val="Heading3"/>
        <w:numPr>
          <w:ilvl w:val="1"/>
          <w:numId w:val="23"/>
        </w:numPr>
      </w:pPr>
      <w:bookmarkStart w:id="49" w:name="_Toc510971241"/>
      <w:r w:rsidRPr="00D86888">
        <w:lastRenderedPageBreak/>
        <w:t>Copper-doped bioactive glass scaffolds enhance osteogenesis in vitro</w:t>
      </w:r>
      <w:bookmarkEnd w:id="49"/>
    </w:p>
    <w:p w14:paraId="219B38CD" w14:textId="1F2B2DF6" w:rsidR="00A6300D" w:rsidRDefault="00A6300D" w:rsidP="00A6300D">
      <w:r w:rsidRPr="00D86888">
        <w:t xml:space="preserve">Having demonstrated the antibacterial potential of the </w:t>
      </w:r>
      <w:r w:rsidRPr="00D86888">
        <w:rPr>
          <w:noProof/>
        </w:rPr>
        <w:t>CuBG</w:t>
      </w:r>
      <w:r w:rsidRPr="00D86888">
        <w:t>-CS, we next tested the scaffold’s ability to maintain mammalian cell viability and promote osteogenesis. This is crucial given the fine balance between antibacterial activity and mammalian cell toxicity as identified above</w:t>
      </w:r>
      <w:r w:rsidR="002D7CD2" w:rsidRPr="00D86888">
        <w:t xml:space="preserve"> (</w:t>
      </w:r>
      <w:r w:rsidR="002D7CD2" w:rsidRPr="00D86888">
        <w:fldChar w:fldCharType="begin"/>
      </w:r>
      <w:r w:rsidR="002D7CD2" w:rsidRPr="00D86888">
        <w:instrText xml:space="preserve"> REF _Ref523754984 \h </w:instrText>
      </w:r>
      <w:r w:rsidR="002D7CD2" w:rsidRPr="00D86888">
        <w:fldChar w:fldCharType="separate"/>
      </w:r>
      <w:r w:rsidR="004D5029" w:rsidRPr="00D86888">
        <w:rPr>
          <w:b/>
        </w:rPr>
        <w:t xml:space="preserve">Figure </w:t>
      </w:r>
      <w:r w:rsidR="004D5029">
        <w:rPr>
          <w:b/>
          <w:noProof/>
        </w:rPr>
        <w:t>2</w:t>
      </w:r>
      <w:r w:rsidR="002D7CD2" w:rsidRPr="00D86888">
        <w:fldChar w:fldCharType="end"/>
      </w:r>
      <w:r w:rsidRPr="00D86888">
        <w:t xml:space="preserve">). The results show that 300% </w:t>
      </w:r>
      <w:r w:rsidRPr="00D86888">
        <w:rPr>
          <w:noProof/>
        </w:rPr>
        <w:t>CuBG</w:t>
      </w:r>
      <w:r w:rsidRPr="00D86888">
        <w:t xml:space="preserve">-CS significantly increased cell proliferation after </w:t>
      </w:r>
      <w:r w:rsidRPr="00D86888">
        <w:rPr>
          <w:noProof/>
        </w:rPr>
        <w:t>initial</w:t>
      </w:r>
      <w:r w:rsidRPr="00D86888">
        <w:t xml:space="preserve"> seeding in growth medium at 72 hours (p &lt; 0.05), by 1.5-fold in comparison to the collagen control (</w:t>
      </w:r>
      <w:r w:rsidR="002D7CD2" w:rsidRPr="00D86888">
        <w:fldChar w:fldCharType="begin"/>
      </w:r>
      <w:r w:rsidR="002D7CD2" w:rsidRPr="00D86888">
        <w:instrText xml:space="preserve"> REF _Ref523755166 \h </w:instrText>
      </w:r>
      <w:r w:rsidR="002D7CD2" w:rsidRPr="00D86888">
        <w:fldChar w:fldCharType="separate"/>
      </w:r>
      <w:r w:rsidR="004D5029" w:rsidRPr="00D86888">
        <w:rPr>
          <w:b/>
        </w:rPr>
        <w:t xml:space="preserve">Figure </w:t>
      </w:r>
      <w:r w:rsidR="004D5029">
        <w:rPr>
          <w:b/>
          <w:noProof/>
        </w:rPr>
        <w:t>6</w:t>
      </w:r>
      <w:r w:rsidR="002D7CD2" w:rsidRPr="00D86888">
        <w:fldChar w:fldCharType="end"/>
      </w:r>
      <w:r w:rsidRPr="00D86888">
        <w:t xml:space="preserve">A). This was a positive result </w:t>
      </w:r>
      <w:r w:rsidRPr="00D86888">
        <w:rPr>
          <w:noProof/>
        </w:rPr>
        <w:t>as,</w:t>
      </w:r>
      <w:r w:rsidRPr="00D86888">
        <w:t xml:space="preserve"> based on its pronounced antibacterial properties, we had some concern that incorporating levels as high as 300% CuBG in the scaffolds might reduce mammalian cell viability; furthermore, although some reduction was seen in cell number at later time points in osteogenic medium (Day 7 and beyond) for the 300% </w:t>
      </w:r>
      <w:r w:rsidRPr="00D86888">
        <w:rPr>
          <w:noProof/>
        </w:rPr>
        <w:t>CuBG</w:t>
      </w:r>
      <w:r w:rsidRPr="00D86888">
        <w:t>-CS, it was not significantly different in comparison to collagen controls at any time point (</w:t>
      </w:r>
      <w:r w:rsidR="002D7CD2" w:rsidRPr="00D86888">
        <w:fldChar w:fldCharType="begin"/>
      </w:r>
      <w:r w:rsidR="002D7CD2" w:rsidRPr="00D86888">
        <w:instrText xml:space="preserve"> REF _Ref523755166 \h </w:instrText>
      </w:r>
      <w:r w:rsidR="002D7CD2" w:rsidRPr="00D86888">
        <w:fldChar w:fldCharType="separate"/>
      </w:r>
      <w:r w:rsidR="004D5029" w:rsidRPr="00D86888">
        <w:rPr>
          <w:b/>
        </w:rPr>
        <w:t xml:space="preserve">Figure </w:t>
      </w:r>
      <w:r w:rsidR="004D5029">
        <w:rPr>
          <w:b/>
          <w:noProof/>
        </w:rPr>
        <w:t>6</w:t>
      </w:r>
      <w:r w:rsidR="002D7CD2" w:rsidRPr="00D86888">
        <w:fldChar w:fldCharType="end"/>
      </w:r>
      <w:r w:rsidRPr="00D86888">
        <w:t xml:space="preserve">B). With the exception of the 300% </w:t>
      </w:r>
      <w:r w:rsidRPr="00D86888">
        <w:rPr>
          <w:noProof/>
        </w:rPr>
        <w:t>CuBG</w:t>
      </w:r>
      <w:r w:rsidRPr="00D86888">
        <w:t xml:space="preserve">-CS, there is an increase in cell number on all scaffolds containing bioactive glass (either BG or </w:t>
      </w:r>
      <w:r w:rsidRPr="00D86888">
        <w:rPr>
          <w:noProof/>
        </w:rPr>
        <w:t>CuBG</w:t>
      </w:r>
      <w:r w:rsidRPr="00D86888">
        <w:t>) (</w:t>
      </w:r>
      <w:r w:rsidR="002D7CD2" w:rsidRPr="00D86888">
        <w:fldChar w:fldCharType="begin"/>
      </w:r>
      <w:r w:rsidR="002D7CD2" w:rsidRPr="00D86888">
        <w:instrText xml:space="preserve"> REF _Ref523755166 \h </w:instrText>
      </w:r>
      <w:r w:rsidR="002D7CD2" w:rsidRPr="00D86888">
        <w:fldChar w:fldCharType="separate"/>
      </w:r>
      <w:r w:rsidR="004D5029" w:rsidRPr="00D86888">
        <w:rPr>
          <w:b/>
        </w:rPr>
        <w:t xml:space="preserve">Figure </w:t>
      </w:r>
      <w:r w:rsidR="004D5029">
        <w:rPr>
          <w:b/>
          <w:noProof/>
        </w:rPr>
        <w:t>6</w:t>
      </w:r>
      <w:r w:rsidR="002D7CD2" w:rsidRPr="00D86888">
        <w:fldChar w:fldCharType="end"/>
      </w:r>
      <w:r w:rsidR="00CB44B8">
        <w:t>B)</w:t>
      </w:r>
      <w:r w:rsidRPr="00D86888">
        <w:t>. With regards to osteogenesis, the 300% CuBG-CS</w:t>
      </w:r>
      <w:r w:rsidR="003E4379">
        <w:t xml:space="preserve"> demonstrated significantly increased</w:t>
      </w:r>
      <w:r w:rsidRPr="00D86888">
        <w:t xml:space="preserve"> cell-mediated calcium deposition at days 14 and 28 vs the 300% BG-CS controls (p &lt; 0.001 for all) (</w:t>
      </w:r>
      <w:r w:rsidR="002D7CD2" w:rsidRPr="00D86888">
        <w:fldChar w:fldCharType="begin"/>
      </w:r>
      <w:r w:rsidR="002D7CD2" w:rsidRPr="00D86888">
        <w:instrText xml:space="preserve"> REF _Ref523755166 \h </w:instrText>
      </w:r>
      <w:r w:rsidR="002D7CD2" w:rsidRPr="00D86888">
        <w:fldChar w:fldCharType="separate"/>
      </w:r>
      <w:r w:rsidR="004D5029" w:rsidRPr="00D86888">
        <w:rPr>
          <w:b/>
        </w:rPr>
        <w:t xml:space="preserve">Figure </w:t>
      </w:r>
      <w:r w:rsidR="004D5029">
        <w:rPr>
          <w:b/>
          <w:noProof/>
        </w:rPr>
        <w:t>6</w:t>
      </w:r>
      <w:r w:rsidR="002D7CD2" w:rsidRPr="00D86888">
        <w:fldChar w:fldCharType="end"/>
      </w:r>
      <w:r w:rsidR="004C5083" w:rsidRPr="00D86888">
        <w:t>C</w:t>
      </w:r>
      <w:r w:rsidRPr="00D86888">
        <w:t>). The osteogenic capacity of CuBG-CS was confirmed with alizarin red staining, which showed increased calcium deposition that was homogeneously distributed throughout the scaffold cross-section (</w:t>
      </w:r>
      <w:r w:rsidR="002D7CD2" w:rsidRPr="00D86888">
        <w:fldChar w:fldCharType="begin"/>
      </w:r>
      <w:r w:rsidR="002D7CD2" w:rsidRPr="00D86888">
        <w:instrText xml:space="preserve"> REF _Ref523755166 \h </w:instrText>
      </w:r>
      <w:r w:rsidR="002D7CD2" w:rsidRPr="00D86888">
        <w:fldChar w:fldCharType="separate"/>
      </w:r>
      <w:r w:rsidR="004D5029" w:rsidRPr="00D86888">
        <w:rPr>
          <w:b/>
        </w:rPr>
        <w:t xml:space="preserve">Figure </w:t>
      </w:r>
      <w:r w:rsidR="004D5029">
        <w:rPr>
          <w:b/>
          <w:noProof/>
        </w:rPr>
        <w:t>6</w:t>
      </w:r>
      <w:r w:rsidR="002D7CD2" w:rsidRPr="00D86888">
        <w:fldChar w:fldCharType="end"/>
      </w:r>
      <w:r w:rsidR="003E4379">
        <w:t>D</w:t>
      </w:r>
      <w:r w:rsidRPr="00D86888">
        <w:t xml:space="preserve">). By contrast, the less mechanically robust collagen-only control showed an encapsulation effect, where mineralisation only occurred on the scaffold periphery. Taken together, these results demonstrate that the 300% CuBG-CS not only support </w:t>
      </w:r>
      <w:r w:rsidRPr="00D86888">
        <w:rPr>
          <w:noProof/>
        </w:rPr>
        <w:t>osteogenesis</w:t>
      </w:r>
      <w:r w:rsidRPr="00D86888">
        <w:t xml:space="preserve"> but enhances it in comparison to the other scaffold groups.</w:t>
      </w:r>
    </w:p>
    <w:p w14:paraId="1CDCE208" w14:textId="17E02BC4" w:rsidR="0029641D" w:rsidRDefault="0029641D" w:rsidP="00A6300D">
      <w:r>
        <w:rPr>
          <w:noProof/>
          <w:lang w:val="en-US"/>
        </w:rPr>
        <w:lastRenderedPageBreak/>
        <w:drawing>
          <wp:inline distT="0" distB="0" distL="0" distR="0" wp14:anchorId="116E87CB" wp14:editId="623FC0FE">
            <wp:extent cx="5220000" cy="376444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000" cy="3764444"/>
                    </a:xfrm>
                    <a:prstGeom prst="rect">
                      <a:avLst/>
                    </a:prstGeom>
                    <a:noFill/>
                  </pic:spPr>
                </pic:pic>
              </a:graphicData>
            </a:graphic>
          </wp:inline>
        </w:drawing>
      </w:r>
    </w:p>
    <w:p w14:paraId="340F3966" w14:textId="33B022E9" w:rsidR="002D7CD2" w:rsidRPr="00D86888" w:rsidRDefault="002D7CD2" w:rsidP="006A27C8">
      <w:pPr>
        <w:pStyle w:val="Caption"/>
        <w:rPr>
          <w:b/>
        </w:rPr>
      </w:pPr>
      <w:bookmarkStart w:id="50" w:name="_Ref523755166"/>
      <w:bookmarkStart w:id="51" w:name="_Ref510968996"/>
      <w:bookmarkStart w:id="52" w:name="_Toc510969634"/>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6</w:t>
      </w:r>
      <w:r w:rsidRPr="00D86888">
        <w:rPr>
          <w:b/>
        </w:rPr>
        <w:fldChar w:fldCharType="end"/>
      </w:r>
      <w:bookmarkEnd w:id="50"/>
      <w:r w:rsidRPr="00D86888">
        <w:rPr>
          <w:b/>
        </w:rPr>
        <w:t xml:space="preserve"> Demonstration of the ability of copper-doped bioactive glass scaffolds to enhance osteogenesis</w:t>
      </w:r>
      <w:bookmarkEnd w:id="51"/>
      <w:bookmarkEnd w:id="52"/>
    </w:p>
    <w:p w14:paraId="4719DF03" w14:textId="42601E9B" w:rsidR="006A27C8" w:rsidRDefault="00A6300D" w:rsidP="006A27C8">
      <w:pPr>
        <w:pStyle w:val="Caption"/>
      </w:pPr>
      <w:r w:rsidRPr="00D86888">
        <w:t>(A) PicoGreen® assay on scaffolds at 12 hours and 72 hours in growth medium as an indicator of initial cell attachment and proliferation, respectively. (B) PicoGreen® assay on scaffolds on days 7, 14, and 28 days after supplementation with osteogenic medium (DNA normalized to collagen control in growth media). (C) Total raw calcium values from scaffolds at day 14 and 28. (</w:t>
      </w:r>
      <w:r w:rsidR="003E4379">
        <w:t>D</w:t>
      </w:r>
      <w:r w:rsidRPr="00D86888">
        <w:t xml:space="preserve">) Alizarin red staining of </w:t>
      </w:r>
      <w:r w:rsidRPr="0029641D">
        <w:t xml:space="preserve">scaffolds at day 14 and 28. </w:t>
      </w:r>
      <w:r w:rsidR="00FB15CD" w:rsidRPr="0029641D">
        <w:t xml:space="preserve">Note: scale bar </w:t>
      </w:r>
      <w:r w:rsidR="0029641D" w:rsidRPr="0029641D">
        <w:t>1 m</w:t>
      </w:r>
      <w:r w:rsidR="00FB15CD" w:rsidRPr="0029641D">
        <w:t xml:space="preserve">m. </w:t>
      </w:r>
      <w:r w:rsidRPr="0029641D">
        <w:t>Data</w:t>
      </w:r>
      <w:r w:rsidRPr="00D86888">
        <w:t xml:space="preserve"> presented as mean ± SD, n=3, p-values are calculated using two-way ANOVA with Bonferroni post-hoc test, all statistical significance shown in comparison to collagen control unless otherwise stated, *p &lt; 0.05, **p &lt; 0.01, ***p &lt; 0.001. </w:t>
      </w:r>
    </w:p>
    <w:p w14:paraId="09A3072C" w14:textId="6DF8F1EA" w:rsidR="00A949A5" w:rsidRPr="00D86888" w:rsidRDefault="00A949A5" w:rsidP="00A949A5">
      <w:pPr>
        <w:pStyle w:val="Heading3"/>
        <w:numPr>
          <w:ilvl w:val="1"/>
          <w:numId w:val="23"/>
        </w:numPr>
      </w:pPr>
      <w:r w:rsidRPr="00D86888">
        <w:t xml:space="preserve">Copper-doped bioactive glass scaffolds enhance </w:t>
      </w:r>
      <w:r>
        <w:t>angi</w:t>
      </w:r>
      <w:r w:rsidRPr="00D86888">
        <w:t>ogenesis in vitro</w:t>
      </w:r>
    </w:p>
    <w:p w14:paraId="367F6C4A" w14:textId="17D11CE1" w:rsidR="00316443" w:rsidRDefault="00316443" w:rsidP="00316443">
      <w:r w:rsidRPr="00D86888">
        <w:t xml:space="preserve">Having determined that the CuBG-CS supports osteogenesis, we next investigated their ability to support angiogenesis, as copper has previously been suggested to be pro-angiogenic by upregulating VEGF production </w:t>
      </w:r>
      <w:r w:rsidRPr="00D86888">
        <w:fldChar w:fldCharType="begin" w:fldLock="1"/>
      </w:r>
      <w:r w:rsidR="0045705E">
        <w:instrText>ADDIN CSL_CITATION {"citationItems":[{"id":"ITEM-1","itemData":{"DOI":"10.1371/journal.pone.0113319","ISSN":"19326203","PMID":"25470000","abstract":"Bioactive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ONE","id":"ITEM-1","issue":"12","issued":{"date-parts":[["2014"]]},"page":"1-24","title":"Bioactive copper-doped glass scaffolds can stimulate endothelial cells in co-culture in combination with mesenchymal stem cells","type":"article-journal","volume":"9"},"uris":["http://www.mendeley.com/documents/?uuid=6ae8ea60-fdce-473d-8b01-bfb43a29cc7c"]}],"mendeley":{"formattedCitation":"[16]","plainTextFormattedCitation":"[16]","previouslyFormattedCitation":"[16]"},"properties":{"noteIndex":0},"schema":"https://github.com/citation-style-language/schema/raw/master/csl-citation.json"}</w:instrText>
      </w:r>
      <w:r w:rsidRPr="00D86888">
        <w:fldChar w:fldCharType="separate"/>
      </w:r>
      <w:r w:rsidR="009A413D" w:rsidRPr="00D86888">
        <w:rPr>
          <w:noProof/>
        </w:rPr>
        <w:t>[16]</w:t>
      </w:r>
      <w:r w:rsidRPr="00D86888">
        <w:fldChar w:fldCharType="end"/>
      </w:r>
      <w:r w:rsidRPr="00D86888">
        <w:t xml:space="preserve">. Note, while we did look at the effect of BG-CS controls – i.e. bioactive glass without copper-doping –as there was no significant difference to the collagen control, we have not included these results here. </w:t>
      </w:r>
      <w:r w:rsidRPr="00D86888">
        <w:rPr>
          <w:noProof/>
        </w:rPr>
        <w:t>The eluate</w:t>
      </w:r>
      <w:r w:rsidRPr="00D86888">
        <w:t xml:space="preserve"> from CuBG-CS was shown to have a dose-dependent effect on VEGF protein production by MSCs (</w:t>
      </w:r>
      <w:r w:rsidR="00940097" w:rsidRPr="00D86888">
        <w:fldChar w:fldCharType="begin"/>
      </w:r>
      <w:r w:rsidR="00940097" w:rsidRPr="00D86888">
        <w:instrText xml:space="preserve"> REF _Ref523755221 \h </w:instrText>
      </w:r>
      <w:r w:rsidR="00940097" w:rsidRPr="00D86888">
        <w:fldChar w:fldCharType="separate"/>
      </w:r>
      <w:r w:rsidR="004D5029" w:rsidRPr="00D86888">
        <w:rPr>
          <w:b/>
        </w:rPr>
        <w:t xml:space="preserve">Figure </w:t>
      </w:r>
      <w:r w:rsidR="004D5029">
        <w:rPr>
          <w:b/>
          <w:noProof/>
        </w:rPr>
        <w:t>7</w:t>
      </w:r>
      <w:r w:rsidR="00940097" w:rsidRPr="00D86888">
        <w:fldChar w:fldCharType="end"/>
      </w:r>
      <w:r w:rsidRPr="00D86888">
        <w:t>A). At day 7 the 100% CuBG-CS significantly enhanced VEGF protein production, by 1.4 times vs. the collagen control (p &lt; 0.01) while the 300% CuBG-CS performed similarly to the collagen control. The ability of the 100% CuBG-CS to enhance angiogenesis was further confirmed by observing the functional effect of increased VEGF production on total tubule length formed by HUVEC cells using a Matrigel® assay (</w:t>
      </w:r>
      <w:r w:rsidR="00940097" w:rsidRPr="00D86888">
        <w:fldChar w:fldCharType="begin"/>
      </w:r>
      <w:r w:rsidR="00940097" w:rsidRPr="00D86888">
        <w:instrText xml:space="preserve"> REF _Ref523755221 \h </w:instrText>
      </w:r>
      <w:r w:rsidR="00940097" w:rsidRPr="00D86888">
        <w:fldChar w:fldCharType="separate"/>
      </w:r>
      <w:r w:rsidR="004D5029" w:rsidRPr="00D86888">
        <w:rPr>
          <w:b/>
        </w:rPr>
        <w:t xml:space="preserve">Figure </w:t>
      </w:r>
      <w:r w:rsidR="004D5029">
        <w:rPr>
          <w:b/>
          <w:noProof/>
        </w:rPr>
        <w:t>7</w:t>
      </w:r>
      <w:r w:rsidR="00940097" w:rsidRPr="00D86888">
        <w:fldChar w:fldCharType="end"/>
      </w:r>
      <w:r w:rsidRPr="00D86888">
        <w:t xml:space="preserve">B). When tubule length was </w:t>
      </w:r>
      <w:r w:rsidRPr="00D86888">
        <w:lastRenderedPageBreak/>
        <w:t>quantified, it was shown to be significantly enhanced for the 100% CuBG-CS group at day 1 (p &lt; 0.001) by more than 1.9-fold in comparison to the collagen control (</w:t>
      </w:r>
      <w:r w:rsidR="00940097" w:rsidRPr="00D86888">
        <w:fldChar w:fldCharType="begin"/>
      </w:r>
      <w:r w:rsidR="00940097" w:rsidRPr="00D86888">
        <w:instrText xml:space="preserve"> REF _Ref523755221 \h </w:instrText>
      </w:r>
      <w:r w:rsidR="00940097" w:rsidRPr="00D86888">
        <w:fldChar w:fldCharType="separate"/>
      </w:r>
      <w:r w:rsidR="004D5029" w:rsidRPr="00D86888">
        <w:rPr>
          <w:b/>
        </w:rPr>
        <w:t xml:space="preserve">Figure </w:t>
      </w:r>
      <w:r w:rsidR="004D5029">
        <w:rPr>
          <w:b/>
          <w:noProof/>
        </w:rPr>
        <w:t>7</w:t>
      </w:r>
      <w:r w:rsidR="00940097" w:rsidRPr="00D86888">
        <w:fldChar w:fldCharType="end"/>
      </w:r>
      <w:r w:rsidRPr="00D86888">
        <w:t>C). This effect was not observed with the 300% CuBG-CS which showed significantly reduced tubule length at day 1, perhaps due to toxic effects on the sensitive HUVEC cells; however, by day 3 and 7, tubule length is recovered and the scaffolds perform similarly to the collagen control. Taking the Matrigel and VEGF protein production results together, this shows that CuBG scaffolds can enhance angiogenesis in a dose-dependent manner.</w:t>
      </w:r>
    </w:p>
    <w:p w14:paraId="1FF717C6" w14:textId="6557DC45" w:rsidR="001540C1" w:rsidRDefault="001540C1" w:rsidP="00316443"/>
    <w:p w14:paraId="76AA3EFF" w14:textId="7C3FA71B" w:rsidR="001540C1" w:rsidRDefault="001540C1" w:rsidP="00316443"/>
    <w:p w14:paraId="30FABB5C" w14:textId="1DF27857" w:rsidR="001540C1" w:rsidRDefault="001540C1" w:rsidP="00316443"/>
    <w:p w14:paraId="79FF52C1" w14:textId="5316BC4F" w:rsidR="001540C1" w:rsidRDefault="001540C1" w:rsidP="00316443"/>
    <w:p w14:paraId="2A4308D4" w14:textId="77777777" w:rsidR="001540C1" w:rsidRPr="00D86888" w:rsidRDefault="001540C1" w:rsidP="00316443"/>
    <w:p w14:paraId="516A1E56" w14:textId="77777777" w:rsidR="0041036C" w:rsidRPr="00D86888" w:rsidRDefault="0041036C" w:rsidP="0041036C"/>
    <w:p w14:paraId="6F1A9FB5" w14:textId="5173706F" w:rsidR="0041036C" w:rsidRPr="00D86888" w:rsidRDefault="001540C1" w:rsidP="001540C1">
      <w:pPr>
        <w:jc w:val="center"/>
      </w:pPr>
      <w:r>
        <w:rPr>
          <w:noProof/>
          <w:lang w:val="en-US"/>
        </w:rPr>
        <w:lastRenderedPageBreak/>
        <w:drawing>
          <wp:inline distT="0" distB="0" distL="0" distR="0" wp14:anchorId="72AADA65" wp14:editId="58BFCEF5">
            <wp:extent cx="3493135" cy="6176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6176010"/>
                    </a:xfrm>
                    <a:prstGeom prst="rect">
                      <a:avLst/>
                    </a:prstGeom>
                    <a:noFill/>
                  </pic:spPr>
                </pic:pic>
              </a:graphicData>
            </a:graphic>
          </wp:inline>
        </w:drawing>
      </w:r>
    </w:p>
    <w:p w14:paraId="7564CFCE" w14:textId="30C9ECE9" w:rsidR="00940097" w:rsidRPr="00D86888" w:rsidRDefault="00940097" w:rsidP="00940097">
      <w:pPr>
        <w:pStyle w:val="Caption"/>
        <w:rPr>
          <w:b/>
        </w:rPr>
      </w:pPr>
      <w:bookmarkStart w:id="53" w:name="_Ref523755221"/>
      <w:bookmarkStart w:id="54" w:name="_Ref510969140"/>
      <w:bookmarkStart w:id="55" w:name="_Toc510969635"/>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7</w:t>
      </w:r>
      <w:r w:rsidRPr="00D86888">
        <w:rPr>
          <w:b/>
        </w:rPr>
        <w:fldChar w:fldCharType="end"/>
      </w:r>
      <w:bookmarkEnd w:id="53"/>
      <w:r w:rsidRPr="00D86888">
        <w:rPr>
          <w:b/>
        </w:rPr>
        <w:t xml:space="preserve"> Effect of bioactive glass scaffolds on angiogenesis</w:t>
      </w:r>
    </w:p>
    <w:bookmarkEnd w:id="54"/>
    <w:bookmarkEnd w:id="55"/>
    <w:p w14:paraId="37850E11" w14:textId="27C1506E" w:rsidR="00316443" w:rsidRPr="00D86888" w:rsidRDefault="00316443" w:rsidP="00316443">
      <w:pPr>
        <w:pStyle w:val="Caption"/>
      </w:pPr>
      <w:r w:rsidRPr="00D86888">
        <w:t xml:space="preserve">(A) Brightfield images of tubule formation in Matrigel® assay at 36 hours post-seeding of human endothelial vascular endothelial (HUVEC) cells cultured with conditioned medium from collagen bioactive glass scaffolds. (B) Total tubule length (µm) quantification from Matrigel® assay. (C) VEGF protein production by rMSCs cultured with conditioned medium from collagen- bioactive glass scaffolds for 7 days (normalized to VEGF and DNA on collagen control). </w:t>
      </w:r>
      <w:r w:rsidR="004B41EF" w:rsidRPr="00D86888">
        <w:t xml:space="preserve">Note: scale bars </w:t>
      </w:r>
      <w:r w:rsidR="004B41EF">
        <w:t>5</w:t>
      </w:r>
      <w:r w:rsidR="004B41EF" w:rsidRPr="00D86888">
        <w:t>00 µm</w:t>
      </w:r>
      <w:r w:rsidR="004B41EF">
        <w:t xml:space="preserve">. </w:t>
      </w:r>
      <w:r w:rsidRPr="00D86888">
        <w:t xml:space="preserve">Data presented as mean ± SD, n=3, p-values are calculated using one- and two-way ANOVA with Bonferroni post-hoc test, all statistical significance shown in comparison to collagen control unless otherwise stated, *p &lt; 0.05, **p &lt; 0.01, ***p &lt; 0.001. </w:t>
      </w:r>
    </w:p>
    <w:p w14:paraId="06798250" w14:textId="77777777" w:rsidR="00F25FD9" w:rsidRDefault="00F25FD9" w:rsidP="00F25FD9"/>
    <w:p w14:paraId="70EB6D58" w14:textId="77777777" w:rsidR="00E04F71" w:rsidRDefault="00E04F71" w:rsidP="00F25FD9"/>
    <w:p w14:paraId="12CEC0C8" w14:textId="77777777" w:rsidR="00E04F71" w:rsidRPr="00D86888" w:rsidRDefault="00E04F71" w:rsidP="00F25FD9"/>
    <w:p w14:paraId="71695D8B" w14:textId="10589CFA" w:rsidR="00E04F71" w:rsidRPr="00E04F71" w:rsidRDefault="00E04F71" w:rsidP="003C3440">
      <w:pPr>
        <w:pStyle w:val="Heading3"/>
        <w:numPr>
          <w:ilvl w:val="1"/>
          <w:numId w:val="23"/>
        </w:numPr>
      </w:pPr>
      <w:r w:rsidRPr="00E04F71">
        <w:lastRenderedPageBreak/>
        <w:t xml:space="preserve">Copper-doped bioactive glass scaffolds </w:t>
      </w:r>
      <w:r w:rsidRPr="003C3440">
        <w:t xml:space="preserve">demonstrated </w:t>
      </w:r>
      <w:r w:rsidRPr="00E04F71">
        <w:t>enhance</w:t>
      </w:r>
      <w:r w:rsidRPr="003C3440">
        <w:t>d osteo- and</w:t>
      </w:r>
      <w:r w:rsidRPr="00E04F71">
        <w:t xml:space="preserve"> angiogenesis in </w:t>
      </w:r>
      <w:r w:rsidRPr="003C3440">
        <w:t xml:space="preserve">a chick embryo </w:t>
      </w:r>
      <w:r w:rsidR="00783763" w:rsidRPr="003C3440">
        <w:t>ex ovo</w:t>
      </w:r>
      <w:r w:rsidRPr="003C3440">
        <w:t xml:space="preserve"> model</w:t>
      </w:r>
    </w:p>
    <w:p w14:paraId="65DC9ED4" w14:textId="6C75DAA4" w:rsidR="00A14EC9" w:rsidRDefault="00A14EC9" w:rsidP="00E76199">
      <w:pPr>
        <w:spacing w:after="0"/>
      </w:pPr>
      <w:r w:rsidRPr="00D86888">
        <w:t>Having assessed the scaffolds</w:t>
      </w:r>
      <w:r w:rsidR="00EE2D6C">
        <w:t xml:space="preserve"> comprehensively</w:t>
      </w:r>
      <w:r w:rsidRPr="00D86888">
        <w:t xml:space="preserve"> in </w:t>
      </w:r>
      <w:r w:rsidR="00EE2D6C">
        <w:t xml:space="preserve">a series of </w:t>
      </w:r>
      <w:r w:rsidRPr="00D86888">
        <w:t xml:space="preserve">in vitro studies, we next </w:t>
      </w:r>
      <w:r w:rsidR="00EE2D6C">
        <w:t xml:space="preserve">sought </w:t>
      </w:r>
      <w:r w:rsidRPr="00D86888">
        <w:t xml:space="preserve">to determine the effect of the </w:t>
      </w:r>
      <w:r w:rsidR="00B83A09">
        <w:t xml:space="preserve">different </w:t>
      </w:r>
      <w:r w:rsidRPr="00D86888">
        <w:t>scaffold</w:t>
      </w:r>
      <w:r w:rsidR="00EE2D6C">
        <w:t xml:space="preserve"> composition</w:t>
      </w:r>
      <w:r w:rsidRPr="00D86888">
        <w:t>s on osteogenesis and angiogenesis in a</w:t>
      </w:r>
      <w:r w:rsidR="00031761" w:rsidRPr="00D86888">
        <w:t xml:space="preserve"> more </w:t>
      </w:r>
      <w:r w:rsidR="00EE2D6C" w:rsidRPr="00D86888">
        <w:t>biologically</w:t>
      </w:r>
      <w:r w:rsidR="00EE2D6C">
        <w:t xml:space="preserve"> </w:t>
      </w:r>
      <w:r w:rsidR="00031761" w:rsidRPr="00D86888">
        <w:t>complex</w:t>
      </w:r>
      <w:r w:rsidRPr="00D86888">
        <w:t xml:space="preserve"> chick embryo in vivo model.</w:t>
      </w:r>
      <w:r w:rsidR="00031761" w:rsidRPr="00D86888">
        <w:t xml:space="preserve"> </w:t>
      </w:r>
      <w:r w:rsidRPr="00D86888">
        <w:t xml:space="preserve">The hind limbs of the chicken embryos treated with </w:t>
      </w:r>
      <w:r w:rsidR="0025138E">
        <w:t>BG-CS or CuBG-CS</w:t>
      </w:r>
      <w:r w:rsidRPr="00D86888">
        <w:t xml:space="preserve"> were harvested at day 12 of development and stained for alcian blue (for cartilage) and alizarin red (for bone). </w:t>
      </w:r>
      <w:r w:rsidR="00031761" w:rsidRPr="00D86888">
        <w:t xml:space="preserve">From visual inspection and quantification of the percentage of ossified limbs, </w:t>
      </w:r>
      <w:r w:rsidR="00381BDA" w:rsidRPr="00D86888">
        <w:t xml:space="preserve">similar to the in vitro studies, </w:t>
      </w:r>
      <w:r w:rsidR="00031761" w:rsidRPr="00D86888">
        <w:t xml:space="preserve">all bioactive glass treated scaffolds (both with and without copper doping) enhanced bone formation in comparison to collagen-only controls and to a similar level to the BMP-2 loaded control </w:t>
      </w:r>
      <w:r w:rsidRPr="00D86888">
        <w:t>(</w:t>
      </w:r>
      <w:r w:rsidRPr="00D86888">
        <w:fldChar w:fldCharType="begin"/>
      </w:r>
      <w:r w:rsidRPr="00D86888">
        <w:instrText xml:space="preserve"> REF _Ref523901976 \h </w:instrText>
      </w:r>
      <w:r w:rsidRPr="00D86888">
        <w:fldChar w:fldCharType="separate"/>
      </w:r>
      <w:r w:rsidR="004D5029" w:rsidRPr="00D86888">
        <w:rPr>
          <w:b/>
        </w:rPr>
        <w:t xml:space="preserve">Figure </w:t>
      </w:r>
      <w:r w:rsidR="004D5029">
        <w:rPr>
          <w:b/>
          <w:noProof/>
        </w:rPr>
        <w:t>8</w:t>
      </w:r>
      <w:r w:rsidRPr="00D86888">
        <w:fldChar w:fldCharType="end"/>
      </w:r>
      <w:r w:rsidR="00381BDA" w:rsidRPr="00D86888">
        <w:t xml:space="preserve"> </w:t>
      </w:r>
      <w:r w:rsidR="00031761" w:rsidRPr="00D86888">
        <w:t>A&amp;B</w:t>
      </w:r>
      <w:r w:rsidRPr="00D86888">
        <w:t>)</w:t>
      </w:r>
      <w:r w:rsidR="00031761" w:rsidRPr="00D86888">
        <w:t>.</w:t>
      </w:r>
      <w:r w:rsidRPr="00D86888">
        <w:t xml:space="preserve"> </w:t>
      </w:r>
    </w:p>
    <w:p w14:paraId="1057304A" w14:textId="3C48D835" w:rsidR="00E76199" w:rsidRPr="00D86888" w:rsidRDefault="00E76199" w:rsidP="00A14EC9">
      <w:r>
        <w:rPr>
          <w:noProof/>
          <w:lang w:val="en-US"/>
        </w:rPr>
        <w:drawing>
          <wp:inline distT="0" distB="0" distL="0" distR="0" wp14:anchorId="75FB83C0" wp14:editId="3548C8CA">
            <wp:extent cx="5220000" cy="344582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000" cy="3445820"/>
                    </a:xfrm>
                    <a:prstGeom prst="rect">
                      <a:avLst/>
                    </a:prstGeom>
                    <a:noFill/>
                  </pic:spPr>
                </pic:pic>
              </a:graphicData>
            </a:graphic>
          </wp:inline>
        </w:drawing>
      </w:r>
    </w:p>
    <w:p w14:paraId="59B1B4D4" w14:textId="4AABACAF" w:rsidR="003B05B9" w:rsidRPr="00D86888" w:rsidRDefault="00023FD9" w:rsidP="003B05B9">
      <w:pPr>
        <w:pStyle w:val="Caption"/>
        <w:rPr>
          <w:b/>
        </w:rPr>
      </w:pPr>
      <w:bookmarkStart w:id="56" w:name="_Ref523901976"/>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8</w:t>
      </w:r>
      <w:r w:rsidRPr="00D86888">
        <w:rPr>
          <w:b/>
        </w:rPr>
        <w:fldChar w:fldCharType="end"/>
      </w:r>
      <w:bookmarkEnd w:id="56"/>
      <w:r w:rsidRPr="00D86888">
        <w:rPr>
          <w:b/>
        </w:rPr>
        <w:t xml:space="preserve"> Effect of bioactive glass scaffolds on osteogenesis in a chick </w:t>
      </w:r>
      <w:r w:rsidR="00CB64D2">
        <w:rPr>
          <w:b/>
        </w:rPr>
        <w:t xml:space="preserve">embryo </w:t>
      </w:r>
      <w:r w:rsidRPr="00D86888">
        <w:rPr>
          <w:b/>
        </w:rPr>
        <w:t>ex ovo model</w:t>
      </w:r>
    </w:p>
    <w:p w14:paraId="117312BE" w14:textId="6A6DAD58" w:rsidR="003B05B9" w:rsidRPr="00D86888" w:rsidRDefault="003B05B9" w:rsidP="003B05B9">
      <w:pPr>
        <w:pStyle w:val="Caption"/>
      </w:pPr>
      <w:r w:rsidRPr="00D86888">
        <w:rPr>
          <w:bCs w:val="0"/>
        </w:rPr>
        <w:t>(A</w:t>
      </w:r>
      <w:r w:rsidRPr="00D86888">
        <w:t xml:space="preserve">) Representative images of chick embryo </w:t>
      </w:r>
      <w:r w:rsidR="00EE2D6C" w:rsidRPr="00D86888">
        <w:t>fem</w:t>
      </w:r>
      <w:r w:rsidR="00EE2D6C">
        <w:t xml:space="preserve">ora </w:t>
      </w:r>
      <w:r w:rsidRPr="00D86888">
        <w:t xml:space="preserve">at day 12 of development stained with alcian blue and alizarin red after treatments with bioactive glass scaffolds or collagen only </w:t>
      </w:r>
      <w:r w:rsidR="008E345D" w:rsidRPr="00D86888">
        <w:t>and</w:t>
      </w:r>
      <w:r w:rsidRPr="00D86888">
        <w:t xml:space="preserve"> BMP containing scaffolds as controls (10X magnification).</w:t>
      </w:r>
      <w:r w:rsidR="00031761" w:rsidRPr="00D86888">
        <w:t xml:space="preserve"> Note: white arrows indicate alizarin red staining. </w:t>
      </w:r>
      <w:r w:rsidRPr="00D86888">
        <w:t xml:space="preserve">(B) Quantified percentage of </w:t>
      </w:r>
      <w:r w:rsidR="008E345D" w:rsidRPr="00D86888">
        <w:t xml:space="preserve">harvested </w:t>
      </w:r>
      <w:r w:rsidRPr="00D86888">
        <w:t xml:space="preserve">limbs that </w:t>
      </w:r>
      <w:r w:rsidR="008E345D" w:rsidRPr="00D86888">
        <w:t xml:space="preserve">stained positive for alizarin red, or mineralisation. </w:t>
      </w:r>
      <w:r w:rsidR="004B41EF" w:rsidRPr="00D86888">
        <w:t xml:space="preserve">Note: scale bar </w:t>
      </w:r>
      <w:r w:rsidR="004B41EF">
        <w:t>2 mm.</w:t>
      </w:r>
    </w:p>
    <w:p w14:paraId="06A2C1D1" w14:textId="5436FBED" w:rsidR="00031761" w:rsidRPr="00D86888" w:rsidRDefault="00031761" w:rsidP="00031761">
      <w:r w:rsidRPr="00D86888">
        <w:t>In terms of angiogenesis,</w:t>
      </w:r>
      <w:r w:rsidR="00381BDA" w:rsidRPr="00D86888">
        <w:t xml:space="preserve"> and again</w:t>
      </w:r>
      <w:r w:rsidRPr="00D86888">
        <w:t xml:space="preserve"> </w:t>
      </w:r>
      <w:r w:rsidR="00381BDA" w:rsidRPr="00D86888">
        <w:t xml:space="preserve">similar to the in vitro studies, 100% CuBG scaffolds </w:t>
      </w:r>
      <w:r w:rsidR="00B40334" w:rsidRPr="00D86888">
        <w:t>show significantly</w:t>
      </w:r>
      <w:r w:rsidR="00381BDA" w:rsidRPr="00D86888">
        <w:t xml:space="preserve"> enhanced angiogenesis</w:t>
      </w:r>
      <w:r w:rsidR="00B40334" w:rsidRPr="00D86888">
        <w:t xml:space="preserve"> in comparison to the collagen control</w:t>
      </w:r>
      <w:r w:rsidR="00381BDA" w:rsidRPr="00D86888">
        <w:t xml:space="preserve"> both qualitatively and when quantified using image analysis software</w:t>
      </w:r>
      <w:r w:rsidR="000A08A9">
        <w:t xml:space="preserve">. Strikingly, these </w:t>
      </w:r>
      <w:r w:rsidR="00F6519E">
        <w:t xml:space="preserve">were </w:t>
      </w:r>
      <w:r w:rsidR="00B40334" w:rsidRPr="00D86888">
        <w:t>more highly vascularised than the VEGF-loaded control</w:t>
      </w:r>
      <w:r w:rsidR="00381BDA" w:rsidRPr="00D86888">
        <w:t xml:space="preserve"> (</w:t>
      </w:r>
      <w:r w:rsidR="00381BDA" w:rsidRPr="00D86888">
        <w:fldChar w:fldCharType="begin"/>
      </w:r>
      <w:r w:rsidR="00381BDA" w:rsidRPr="00D86888">
        <w:instrText xml:space="preserve"> REF _Ref523902497 \h </w:instrText>
      </w:r>
      <w:r w:rsidR="00381BDA" w:rsidRPr="00D86888">
        <w:fldChar w:fldCharType="separate"/>
      </w:r>
      <w:r w:rsidR="004D5029" w:rsidRPr="00D86888">
        <w:rPr>
          <w:b/>
        </w:rPr>
        <w:t xml:space="preserve">Figure </w:t>
      </w:r>
      <w:r w:rsidR="004D5029">
        <w:rPr>
          <w:b/>
          <w:noProof/>
        </w:rPr>
        <w:t>9</w:t>
      </w:r>
      <w:r w:rsidR="00381BDA" w:rsidRPr="00D86888">
        <w:fldChar w:fldCharType="end"/>
      </w:r>
      <w:r w:rsidR="00381BDA" w:rsidRPr="00D86888">
        <w:t xml:space="preserve"> A&amp;B).</w:t>
      </w:r>
    </w:p>
    <w:p w14:paraId="73721AB7" w14:textId="77777777" w:rsidR="00B40334" w:rsidRPr="00D86888" w:rsidRDefault="00B40334" w:rsidP="00031761">
      <w:r w:rsidRPr="00D86888">
        <w:rPr>
          <w:noProof/>
          <w:lang w:val="en-US"/>
        </w:rPr>
        <w:lastRenderedPageBreak/>
        <w:drawing>
          <wp:inline distT="0" distB="0" distL="0" distR="0" wp14:anchorId="366EAEE0" wp14:editId="4F37966D">
            <wp:extent cx="5220000" cy="2332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2332593"/>
                    </a:xfrm>
                    <a:prstGeom prst="rect">
                      <a:avLst/>
                    </a:prstGeom>
                    <a:noFill/>
                  </pic:spPr>
                </pic:pic>
              </a:graphicData>
            </a:graphic>
          </wp:inline>
        </w:drawing>
      </w:r>
    </w:p>
    <w:p w14:paraId="7B77D5EA" w14:textId="3499244B" w:rsidR="008E345D" w:rsidRPr="00D86888" w:rsidRDefault="009913FA" w:rsidP="008E345D">
      <w:pPr>
        <w:pStyle w:val="Caption"/>
        <w:rPr>
          <w:b/>
        </w:rPr>
      </w:pPr>
      <w:bookmarkStart w:id="57" w:name="_Ref523902497"/>
      <w:r w:rsidRPr="00D86888">
        <w:rPr>
          <w:b/>
        </w:rPr>
        <w:t xml:space="preserve">Figure </w:t>
      </w:r>
      <w:r w:rsidRPr="00D86888">
        <w:rPr>
          <w:b/>
        </w:rPr>
        <w:fldChar w:fldCharType="begin"/>
      </w:r>
      <w:r w:rsidRPr="00D86888">
        <w:rPr>
          <w:b/>
        </w:rPr>
        <w:instrText xml:space="preserve"> SEQ Figure \* ARABIC </w:instrText>
      </w:r>
      <w:r w:rsidRPr="00D86888">
        <w:rPr>
          <w:b/>
        </w:rPr>
        <w:fldChar w:fldCharType="separate"/>
      </w:r>
      <w:r w:rsidR="004D5029">
        <w:rPr>
          <w:b/>
          <w:noProof/>
        </w:rPr>
        <w:t>9</w:t>
      </w:r>
      <w:r w:rsidRPr="00D86888">
        <w:rPr>
          <w:b/>
        </w:rPr>
        <w:fldChar w:fldCharType="end"/>
      </w:r>
      <w:bookmarkEnd w:id="57"/>
      <w:r w:rsidRPr="00D86888">
        <w:rPr>
          <w:b/>
        </w:rPr>
        <w:t xml:space="preserve"> Effect of bioactive glass scaffolds on angiogenesis in a chick</w:t>
      </w:r>
      <w:r w:rsidR="00CB64D2">
        <w:rPr>
          <w:b/>
        </w:rPr>
        <w:t xml:space="preserve"> embryo</w:t>
      </w:r>
      <w:r w:rsidRPr="00D86888">
        <w:rPr>
          <w:b/>
        </w:rPr>
        <w:t xml:space="preserve"> ex ovo model</w:t>
      </w:r>
    </w:p>
    <w:p w14:paraId="3F566087" w14:textId="77777777" w:rsidR="00B40334" w:rsidRPr="00D86888" w:rsidRDefault="008E345D" w:rsidP="00B40334">
      <w:pPr>
        <w:pStyle w:val="Caption"/>
      </w:pPr>
      <w:r w:rsidRPr="00D86888">
        <w:t xml:space="preserve">(A) Representative images of the angiogenic response to bioactive glass scaffolds on the surrounding CAM membrane with collagen only and VEGF scaffolds as controls. (B) Quantified percentage vascularised area in a 12.5 mm Ø circular area around the scaffold treatments. </w:t>
      </w:r>
      <w:r w:rsidR="00B40334" w:rsidRPr="00D86888">
        <w:t>Data presented as mean ± SD, n=3, p-values are calculated using an unpaired two-tailed t-test with 95% CI, all statistical significance shown in comparison to collagen control unless otherwise stated, *p &lt; 0.05.</w:t>
      </w:r>
    </w:p>
    <w:p w14:paraId="6FC1F1E2" w14:textId="77777777" w:rsidR="00870E3A" w:rsidRPr="00D86888" w:rsidRDefault="00870E3A" w:rsidP="00432F4E">
      <w:pPr>
        <w:pStyle w:val="Heading2"/>
      </w:pPr>
      <w:bookmarkStart w:id="58" w:name="_Toc510971243"/>
      <w:r w:rsidRPr="00D86888">
        <w:t>Discussion</w:t>
      </w:r>
      <w:bookmarkEnd w:id="58"/>
    </w:p>
    <w:p w14:paraId="7E6958F1" w14:textId="1609BCD0" w:rsidR="008F78F8" w:rsidRPr="00D86888" w:rsidRDefault="0041036C" w:rsidP="00432F4E">
      <w:r w:rsidRPr="00D86888">
        <w:t>The overall aim of this study was to investigate the effect of copper-doped bioactive glass (CuBG)</w:t>
      </w:r>
      <w:r w:rsidR="008F78F8" w:rsidRPr="00D86888">
        <w:t xml:space="preserve"> </w:t>
      </w:r>
      <w:r w:rsidRPr="00D86888">
        <w:t>incorporation into a porous collagen scaffold on the microarchitectural and mechanical properties,</w:t>
      </w:r>
      <w:r w:rsidR="008F78F8" w:rsidRPr="00D86888">
        <w:t xml:space="preserve"> </w:t>
      </w:r>
      <w:r w:rsidRPr="00D86888">
        <w:t>antibacterial activity, and the ability of the scaffolds to support osteogenesi</w:t>
      </w:r>
      <w:r w:rsidR="00783763">
        <w:t>s and a</w:t>
      </w:r>
      <w:r w:rsidR="008F78F8" w:rsidRPr="00D86888">
        <w:t>ngiogenesis</w:t>
      </w:r>
      <w:r w:rsidR="00C01A49">
        <w:t xml:space="preserve"> both in vitro and in vivo</w:t>
      </w:r>
      <w:r w:rsidR="008F78F8" w:rsidRPr="00D86888">
        <w:t xml:space="preserve">. The results </w:t>
      </w:r>
      <w:r w:rsidRPr="00D86888">
        <w:t>demonstrate that these novel CuBG collagen scaffolds (CuBG-CS) were highly porous, had suitable pore size for</w:t>
      </w:r>
      <w:r w:rsidR="008F78F8" w:rsidRPr="00D86888">
        <w:t xml:space="preserve"> </w:t>
      </w:r>
      <w:r w:rsidRPr="00D86888">
        <w:t>successful bone tissue engineering, and showed increased compressive modul</w:t>
      </w:r>
      <w:r w:rsidR="008F78F8" w:rsidRPr="00D86888">
        <w:t xml:space="preserve">us in comparison to the BG-free </w:t>
      </w:r>
      <w:r w:rsidRPr="00D86888">
        <w:t xml:space="preserve">collagen scaffold. Most importantly, CuBG addition was shown to result in antibacterial activity, </w:t>
      </w:r>
      <w:r w:rsidR="00321C97">
        <w:t>demonstrating</w:t>
      </w:r>
      <w:r w:rsidR="00321C97" w:rsidRPr="00D86888">
        <w:t xml:space="preserve"> </w:t>
      </w:r>
      <w:r w:rsidRPr="00D86888">
        <w:t>increased</w:t>
      </w:r>
      <w:r w:rsidR="008F78F8" w:rsidRPr="00D86888">
        <w:t xml:space="preserve"> </w:t>
      </w:r>
      <w:r w:rsidRPr="00D86888">
        <w:t xml:space="preserve">toxicity against </w:t>
      </w:r>
      <w:r w:rsidRPr="00D86888">
        <w:rPr>
          <w:i/>
        </w:rPr>
        <w:t>S. aureus</w:t>
      </w:r>
      <w:r w:rsidRPr="00D86888">
        <w:t xml:space="preserve">. Furthermore, </w:t>
      </w:r>
      <w:r w:rsidR="00C01A49">
        <w:t xml:space="preserve">in vitro, </w:t>
      </w:r>
      <w:r w:rsidRPr="00D86888">
        <w:t>the incorporation of CuBG enhanced osteogenesis and angiogenesis in</w:t>
      </w:r>
      <w:r w:rsidR="00681725" w:rsidRPr="00D86888">
        <w:t xml:space="preserve"> </w:t>
      </w:r>
      <w:r w:rsidRPr="00D86888">
        <w:t xml:space="preserve">a dose-dependent manner. </w:t>
      </w:r>
      <w:r w:rsidR="00C01A49">
        <w:t>Most promisingly, when tested in a chick embryo ex ovo model, the CuBG-CS was not only biocompatible, showing no signs of toxicity, but also demonstrated the same pattern of enhanced osteo- and angiogenesis as the in vitro studies</w:t>
      </w:r>
      <w:r w:rsidR="00321C97">
        <w:t>; indeed the CuBG-CS significantly outperformed VEGF positive controls in angiogenesis studies</w:t>
      </w:r>
      <w:r w:rsidR="00C01A49">
        <w:t xml:space="preserve">. </w:t>
      </w:r>
      <w:r w:rsidRPr="00D86888">
        <w:t>Taken together, these results indicate that the CuBG-CS developed here</w:t>
      </w:r>
      <w:r w:rsidR="008F78F8" w:rsidRPr="00D86888">
        <w:t xml:space="preserve"> </w:t>
      </w:r>
      <w:r w:rsidRPr="00D86888">
        <w:t>show potential to be used in the osteomyelitis defect site by simultaneousl</w:t>
      </w:r>
      <w:r w:rsidR="001F2323" w:rsidRPr="00D86888">
        <w:t xml:space="preserve">y </w:t>
      </w:r>
      <w:r w:rsidR="00C01A49" w:rsidRPr="00D86888">
        <w:t xml:space="preserve">limiting infection </w:t>
      </w:r>
      <w:r w:rsidR="00C01A49">
        <w:t xml:space="preserve">whilst </w:t>
      </w:r>
      <w:r w:rsidR="001F2323" w:rsidRPr="00D86888">
        <w:t>promoting bone healing</w:t>
      </w:r>
      <w:r w:rsidRPr="00D86888">
        <w:t>.</w:t>
      </w:r>
      <w:r w:rsidR="008F78F8" w:rsidRPr="00D86888">
        <w:t xml:space="preserve"> </w:t>
      </w:r>
    </w:p>
    <w:p w14:paraId="5E832104" w14:textId="2277C81E" w:rsidR="008F5F75" w:rsidRPr="00D86888" w:rsidRDefault="00C37E9B" w:rsidP="00432F4E">
      <w:r w:rsidRPr="00D86888">
        <w:t xml:space="preserve">In this </w:t>
      </w:r>
      <w:r w:rsidRPr="00D86888">
        <w:rPr>
          <w:noProof/>
        </w:rPr>
        <w:t>study,</w:t>
      </w:r>
      <w:r w:rsidRPr="00D86888">
        <w:t xml:space="preserve"> we proposed the development of a multi-functional scaffold for the treatment of bone defects and reduction of infection. This objective thus requires a matrix that is not </w:t>
      </w:r>
      <w:r w:rsidRPr="00D86888">
        <w:lastRenderedPageBreak/>
        <w:t>only capable of supporting bone regeneration, but also inhibiting bacterial growth with</w:t>
      </w:r>
      <w:r w:rsidR="00231A9B" w:rsidRPr="00D86888">
        <w:t xml:space="preserve"> the aim of avoiding </w:t>
      </w:r>
      <w:r w:rsidRPr="00D86888">
        <w:t xml:space="preserve">contributing to antibiotic resistance. To the best of our knowledge, this is the </w:t>
      </w:r>
      <w:r w:rsidR="00B83A09">
        <w:t>first</w:t>
      </w:r>
      <w:r w:rsidR="00B83A09" w:rsidRPr="00D86888">
        <w:t xml:space="preserve"> </w:t>
      </w:r>
      <w:r w:rsidRPr="00D86888">
        <w:t xml:space="preserve">study </w:t>
      </w:r>
      <w:r w:rsidR="00B83A09">
        <w:t>to successfully demonstrate</w:t>
      </w:r>
      <w:r w:rsidRPr="00D86888">
        <w:t xml:space="preserve"> incorporation of copper-doped bioactive glass into a natural </w:t>
      </w:r>
      <w:r w:rsidR="002E416A">
        <w:t>polymer</w:t>
      </w:r>
      <w:r w:rsidRPr="00D86888">
        <w:t xml:space="preserve">-based scaffold. We found that the incorporation of CuBG into the collagen scaffold successfully resulted in a non-antibiotic antibacterial scaffold. The 300% CuBG-CS resulted in a significant reduction in </w:t>
      </w:r>
      <w:r w:rsidRPr="00D86888">
        <w:rPr>
          <w:i/>
        </w:rPr>
        <w:t>S. aureus</w:t>
      </w:r>
      <w:r w:rsidRPr="00D86888">
        <w:t xml:space="preserve"> growth in comparison to the collagen control. Additionally, a time-kill assay showed that the </w:t>
      </w:r>
      <w:r w:rsidR="008F5F75">
        <w:t xml:space="preserve">100% CuBG-CS and </w:t>
      </w:r>
      <w:r w:rsidRPr="00D86888">
        <w:t xml:space="preserve">300% CuBG-CS scaffolds also significantly delay the growth of </w:t>
      </w:r>
      <w:r w:rsidRPr="00D86888">
        <w:rPr>
          <w:i/>
        </w:rPr>
        <w:t>S. aureus</w:t>
      </w:r>
      <w:r w:rsidRPr="00D86888">
        <w:t xml:space="preserve"> </w:t>
      </w:r>
      <w:r w:rsidR="008F5F75">
        <w:t xml:space="preserve">at 7 hours and </w:t>
      </w:r>
      <w:r w:rsidRPr="00D86888">
        <w:t>from 7 to 24 hours</w:t>
      </w:r>
      <w:r w:rsidR="008F5F75">
        <w:t>, respectively,</w:t>
      </w:r>
      <w:r w:rsidRPr="00D86888">
        <w:t xml:space="preserve"> in comparison to the collagen control.</w:t>
      </w:r>
      <w:r w:rsidR="00432F4E" w:rsidRPr="00D86888">
        <w:t xml:space="preserve"> There are a number of antibiotic-loaded collagen sponges (typically gentamicin) on the market for osteomyelitis treatment </w:t>
      </w:r>
      <w:r w:rsidR="00432F4E" w:rsidRPr="00D86888">
        <w:fldChar w:fldCharType="begin" w:fldLock="1"/>
      </w:r>
      <w:r w:rsidR="002F5C61">
        <w:instrText>ADDIN CSL_CITATION {"citationItems":[{"id":"ITEM-1","itemData":{"author":[{"dropping-particle":"","family":"Kavanagh","given":"Nicola","non-dropping-particle":"","parse-names":false,"suffix":""},{"dropping-particle":"","family":"Ryan","given":"Emily J.","non-dropping-particle":"","parse-names":false,"suffix":""},{"dropping-particle":"","family":"Widaa","given":"Amro","non-dropping-particle":"","parse-names":false,"suffix":""},{"dropping-particle":"","family":"Sexton","given":"Gillian","non-dropping-particle":"","parse-names":false,"suffix":""},{"dropping-particle":"","family":"Fennell","given":"Jerome","non-dropping-particle":"","parse-names":false,"suffix":""},{"dropping-particle":"","family":"O’Rourk","given":"Sadhbh","non-dropping-particle":"","parse-names":false,"suffix":""},{"dropping-particle":"","family":"Cahill","given":"Kevin C.","non-dropping-particle":"","parse-names":false,"suffix":""},{"dropping-particle":"","family":"Kearney","given":"Cathal J.","non-dropping-particle":"","parse-names":false,"suffix":""},{"dropping-particle":"","family":"O’Brien","given":"Fergal J.","non-dropping-particle":"","parse-names":false,"suffix":""},{"dropping-particle":"","family":"Kerrigan","given":"Steven W.","non-dropping-particle":"","parse-names":false,"suffix":""}],"container-title":"Clinical Microbiology Reviews","id":"ITEM-1","issue":"2","issued":{"date-parts":[["2018"]]},"page":"1-25","title":"Staphylococcal osteomyelitis: Disease progression, treatment challenges, and future directions","type":"article-journal","volume":"31"},"uris":["http://www.mendeley.com/documents/?uuid=7f4b7144-9e51-4db1-ac62-e9e21acb4a5d"]}],"mendeley":{"formattedCitation":"[54]","plainTextFormattedCitation":"[54]","previouslyFormattedCitation":"[54]"},"properties":{"noteIndex":0},"schema":"https://github.com/citation-style-language/schema/raw/master/csl-citation.json"}</w:instrText>
      </w:r>
      <w:r w:rsidR="00432F4E" w:rsidRPr="00D86888">
        <w:fldChar w:fldCharType="separate"/>
      </w:r>
      <w:r w:rsidR="003A62BC" w:rsidRPr="003A62BC">
        <w:rPr>
          <w:noProof/>
        </w:rPr>
        <w:t>[54]</w:t>
      </w:r>
      <w:r w:rsidR="00432F4E" w:rsidRPr="00D86888">
        <w:fldChar w:fldCharType="end"/>
      </w:r>
      <w:r w:rsidR="00432F4E" w:rsidRPr="00D86888">
        <w:t xml:space="preserve">; however, in clinical orthopaedic scenarios, these local antibiotic delivery vehicles are most often applied in a combined approach with the addition of systemic antibiotics to achieve the best possible results </w:t>
      </w:r>
      <w:r w:rsidR="00432F4E" w:rsidRPr="00D86888">
        <w:fldChar w:fldCharType="begin" w:fldLock="1"/>
      </w:r>
      <w:r w:rsidR="002F5C61">
        <w:instrText>ADDIN CSL_CITATION {"citationItems":[{"id":"ITEM-1","itemData":{"URL":"https://collatampg.ca/Healthcare_Professionals/Orthopaedic_Applications/en","accessed":{"date-parts":[["2018","2","15"]]},"author":[{"dropping-particle":"","family":"Tribute Pharmaceuticals Canada Inc.","given":"","non-dropping-particle":"","parse-names":false,"suffix":""}],"id":"ITEM-1","issued":{"date-parts":[["2018"]]},"title":"Collatamp G - Orthopaedic Applications","type":"webpage"},"uris":["http://www.mendeley.com/documents/?uuid=37783d9a-964c-35e6-b2bf-715dc6dfd76f"]},{"id":"ITEM-2","itemData":{"URL":"http://nl.biomet.be/viewversion.cfm?contentversionid=16834&amp;sc=1","accessed":{"date-parts":[["2018","2","15"]]},"author":[{"dropping-particle":"","family":"Biomet","given":"","non-dropping-particle":"","parse-names":false,"suffix":""}],"id":"ITEM-2","issued":{"date-parts":[["2018"]]},"title":"Septocoll E","type":"webpage"},"uris":["http://www.mendeley.com/documents/?uuid=102b614c-7451-3915-901e-53e4d9628f02"]}],"mendeley":{"formattedCitation":"[55,56]","plainTextFormattedCitation":"[55,56]","previouslyFormattedCitation":"[55,56]"},"properties":{"noteIndex":0},"schema":"https://github.com/citation-style-language/schema/raw/master/csl-citation.json"}</w:instrText>
      </w:r>
      <w:r w:rsidR="00432F4E" w:rsidRPr="00D86888">
        <w:fldChar w:fldCharType="separate"/>
      </w:r>
      <w:r w:rsidR="003A62BC" w:rsidRPr="003A62BC">
        <w:rPr>
          <w:noProof/>
        </w:rPr>
        <w:t>[55,56]</w:t>
      </w:r>
      <w:r w:rsidR="00432F4E" w:rsidRPr="00D86888">
        <w:fldChar w:fldCharType="end"/>
      </w:r>
      <w:r w:rsidR="00432F4E" w:rsidRPr="00D86888">
        <w:t xml:space="preserve"> Thus, from a clinical translation perspective, if the bacterial clearance and growth rate reduction we achieved here is not sufficient, a com</w:t>
      </w:r>
      <w:r w:rsidR="00812217">
        <w:t>bined approach could be used.</w:t>
      </w:r>
    </w:p>
    <w:p w14:paraId="2795DD98" w14:textId="447086FB" w:rsidR="00CB44B8" w:rsidRDefault="00C37E9B" w:rsidP="00432F4E">
      <w:r w:rsidRPr="00D86888">
        <w:t xml:space="preserve">As demonstrated in our 2-D studies – and consistent with many previous reports for both non-antibiotic antibacterials and antibiotics </w:t>
      </w:r>
      <w:r w:rsidRPr="00D86888">
        <w:fldChar w:fldCharType="begin" w:fldLock="1"/>
      </w:r>
      <w:r w:rsidR="002F5C61">
        <w:instrText>ADDIN CSL_CITATION {"citationItems":[{"id":"ITEM-1","itemData":{"DOI":"10.1128/AAC.00729-05","ISBN":"0066-4804","ISSN":"00664804","PMID":"17088489","abstract":"Osteomyelitis, osteitis, spondylodiscitis, septic arthritis, and prosthetic joint infections still represent the worst complications of orthopedic surgery and traumatology. Successful treatment requires, besides surgical debridement, long-term systemic and high-concentration local antibiotic therapy, with possible local antibiotic concentrations of 100 microg/ml and more. In this study, we investigated the effect of 20 different antibiotics on primary human osteoblasts (PHO), the osteosarcoma cell line MG63, and the epithelial cell line HeLa. High concentrations of fluoroquinolones, macrolides, clindamycin, chloramphenicol, rifampin, tetracycline, and linezolid during 48 h of incubation inhibited proliferation and metabolic activity, whereas aminoglycosides and inhibitors of bacterial cell wall synthesis did not. Twenty percent inhibitory concentrations for proliferation of PHO were determined as 20 to 40 microg/ml for macrolides, clindamycin, and rifampin, 60 to 80 microg/ml for chloramphenicol, tetracylin, and fluoroquinolones, and 240 microg/ml for linezolid. The proliferation of the cell lines was always less inhibited. We established the measurement of extracellular lactate concentration as an indicator of glycolysis using inhibitors of the respiratory chain (antimycin A, rotenone, and sodium azide) and glycolysis (iodoacetic acid) as reference compounds, whereas inhibition of the respiratory chain increased and inhibition of glycolysis decreased lactate production. The measurement of extracellular lactate concentration revealed that fluoroquinolones, macrolides, clindamycin, rifampin, tetracycline, and especially chloramphenicol and linezolid impaired mitochondrial energetics in high concentrations. This explains partly the observed inhibition of metabolic activity and proliferation in our experiments. Because of differences in the energy metabolism, PHO provided a more sensitive model for orthopedic antibiotic usage than stable cell lines","author":[{"dropping-particle":"","family":"Duewelhenke","given":"N.","non-dropping-particle":"","parse-names":false,"suffix":""},{"dropping-particle":"","family":"Krut","given":"O.","non-dropping-particle":"","parse-names":false,"suffix":""},{"dropping-particle":"","family":"Eysel","given":"P.","non-dropping-particle":"","parse-names":false,"suffix":""}],"container-title":"Antimicrobial Agents and Chemotherapy","id":"ITEM-1","issue":"1","issued":{"date-parts":[["2007"]]},"page":"54-63","title":"Influence on mitochondria and cytotoxicity of different antibiotics administered in high concentrations on primary human osteoblasts and cell lines","type":"article-journal","volume":"51"},"uris":["http://www.mendeley.com/documents/?uuid=2118688f-6708-415b-96c2-2ecd9d549526"]},{"id":"ITEM-2","itemData":{"author":[{"dropping-particle":"","family":"Corneal","given":"Porcine","non-dropping-particle":"","parse-names":false,"suffix":""},{"dropping-particle":"","family":"Cells","given":"Endothelial","non-dropping-particle":"","parse-names":false,"suffix":""},{"dropping-particle":"","family":"Chang","given":"Cheng-hsien","non-dropping-particle":"","parse-names":false,"suffix":""},{"dropping-particle":"","family":"Lin","given":"Chang-ping","non-dropping-particle":"","parse-names":false,"suffix":""},{"dropping-particle":"","family":"Tsai","given":"Ming-chi","non-dropping-particle":"","parse-names":false,"suffix":""}],"container-title":"Journal of Ocular Pharmacology","id":"ITEM-2","issue":"1","issued":{"date-parts":[["1996"]]},"title":"Using MTT viability assay to test the cytotoxicity of antibiotics and steroid to cultured porcine corneal endothelial cells","type":"article-journal","volume":"12"},"uris":["http://www.mendeley.com/documents/?uuid=33c33fd3-58fb-42e4-b9cc-7e3e9dd37102"]},{"id":"ITEM-3","itemData":{"DOI":"10.1590/S1678-77572010000300011","ISSN":"1678-7765","PMID":"20857004","abstract":"OBJECTIVE: New drugs have to be assessed in endodontic therapy due to the presence of microorganisms resistant to therapeutic procedures. Thus, this study evaluated the time- and concentration-dependent cytotoxicity of different antibiotics used in endodontic therapy. MATERIAL AND METHODS: Human gingival fibroblasts were treated and divided into the following experimental groups: Group I - control; Group II - ciprofloxacin hydrochloride; Group III - clyndamicin hydrochloride; and Group IV - metronidazole. Each drug was used at concentrations of 5, 50, 150, and 300 mg/L for 24, 48, 72, and 96 h. Cytotoxicity was evaluated by the MTT assay [3-(4,5-dimethylthiazol-2-yl)-2,5-diphenyltetrazolium bromide] and spectrophotometric reading of ELISA plates. The results were analyzed by BioEstat 4.0 software using Kruskal-Wallis and Dunn's tests at a significance level of 5%. Cell viability was assessed for the different concentrations and times. RESULTS: All drugs presented dose-dependent cytotoxicity. Concentrations of 5 and 50 mg/L produced viable fibroblasts at all experimental times in all groups. CONCLUSIONS: Cell viability at 24 h was greater than in the other experimental times. Comparison between the same concentrations of antibiotics at different times showed that metronidazole presented the highest cell viability at 72 and 96 h compared to the other antibiotics, whereas clyndamicin hydrochloride showed higher cell viability at 72 h than ciprofloxacin hydrochloride.","author":[{"dropping-particle":"","family":"Ferreira","given":"Marina Beloti","non-dropping-particle":"","parse-names":false,"suffix":""},{"dropping-particle":"","family":"Myiagi","given":"Suely","non-dropping-particle":"","parse-names":false,"suffix":""},{"dropping-particle":"","family":"Nogales","given":"Carlos Goes","non-dropping-particle":"","parse-names":false,"suffix":""},{"dropping-particle":"","family":"Campos","given":"Marcia Sampaio","non-dropping-particle":"","parse-names":false,"suffix":""},{"dropping-particle":"","family":"Lage-Marques","given":"José Luiz","non-dropping-particle":"","parse-names":false,"suffix":""}],"container-title":"Journal of applied oral science : revista FOB","id":"ITEM-3","issue":"3","issued":{"date-parts":[["2010"]]},"page":"259-63","title":"Time- and concentration-dependent cytotoxicity of antibiotics used in endodontic therapy.","type":"article-journal","volume":"18"},"uris":["http://www.mendeley.com/documents/?uuid=f0a49827-ccc7-4330-8fca-3c2b1e6371d2"]},{"id":"ITEM-4","itemData":{"DOI":"10.1016/0305-4179(92)90180-3","ISBN":"0005002501005","ISSN":"03054179","PMID":"1489497","abstract":"Infection is the greatest problem in burn patients and topical antimicrobial agents must be chosen with great care, especially when cultured skin is grafted. We examined the cytotoxic effect of six antiseptics and six antibiotics commonly used on cultured human fibroblasts and keratinocytes. Cultured cells were exposed for 15 min to Hibitane?? (chlorhexidine), Biseptine?? (chlorhexidine + benzalkonium chloride + benzylic alcohol), Benzalkonium Chloride, Yellow Betadine?? (polyvidone-iodine + nonoxinol), Betadine Scrub (polyvidone-iodine + quaternary ammonium) and Green Betadine?? (polyvidone-iodine) and viability was determined using the MTT test. At therapeutic concentrations all the antiseptics are cytotoxic for fibroblasts and keratinocytes. Additionally the cells were exposed for 48 h to vancomycin, colistin, amikacin, imipeneme, pefloxaxin, piperacillin and cell viability was determined using the MTT test. The concentrations of antibiotics corresponding to the plasma peak obtained after therapeutic appliction were not cytotoxic to the tested cells. The CD50 was much higher than the MIC (from 125 to 875 times for keratinocytes and from 1400 to 5900 times for fibroblasts). These data suggest that commonly applied antiseptics must not be used before grafting cultured skin grafts. After grafting any infection can be controlled with topical applications of appropriate antibiotics. ?? 1992.","author":[{"dropping-particle":"","family":"Damour","given":"O.","non-dropping-particle":"","parse-names":false,"suffix":""},{"dropping-particle":"","family":"Zhi Hua","given":"S.","non-dropping-particle":"","parse-names":false,"suffix":""},{"dropping-particle":"","family":"Lasne","given":"F.","non-dropping-particle":"","parse-names":false,"suffix":""},{"dropping-particle":"","family":"Villain","given":"M.","non-dropping-particle":"","parse-names":false,"suffix":""},{"dropping-particle":"","family":"Rousselle","given":"P.","non-dropping-particle":"","parse-names":false,"suffix":""},{"dropping-particle":"","family":"Collombel","given":"C.","non-dropping-particle":"","parse-names":false,"suffix":""}],"container-title":"Burns","id":"ITEM-4","issue":"6","issued":{"date-parts":[["1992"]]},"page":"479-485","title":"Cytotoxicity evaluation of antiseptics and antibiotics on cultured human fibroblasts and keratinocytes","type":"article-journal","volume":"18"},"uris":["http://www.mendeley.com/documents/?uuid=fbdb9f32-eb74-4ae3-8d1e-8bd07f833598"]},{"id":"ITEM-5","itemData":{"DOI":"24/4/507 [pii]","ISBN":"0258-851X (Print)\\r0258-851X (Linking)","ISSN":"0258851X","PMID":"20668317","abstract":"The use of dental metal alloys in the daily clinic makes it necessary to evaluate the cytotoxicity of eluted metal components against oral cells. However, the cytotoxic mechanism and the type of cell death induced by dental metals in osteoblasts have not been well characterized. This study investigated the cytotoxicity of seven metals against the mouse osteoblastic cell line MC3T3-E1. alpha-MEM was used as a culture medium, since this medium provided much superior proliferation of MC3T3-E1 cells over DMEM. Ag (NH(3))(2)F was the most cytotoxic, followed by CuCl&gt;CuCl(2) &gt;CoCl(2), NiCl(2)&gt;FeCl(3) and FeCl(2) (least toxic). None of the metals showed any apparent growth stimulating effect (so-called 'hormesis') at lower concentrations. A time course study demonstrated that two hours of contact between oral cells and Ag (NH(3))(2)F, CuCl, CoCl(2) or NiCl(2) induced irreversible cell death. Contact with these metals induced a smear pattern of DNA fragmentation without activation of caspase-3. Preincubation of MC3T3-E1 cells with either a caspase inhibitor (Z-VAD-FMK) or autophagy inhibitors (3-methyladenine, bafilomycin) failed to rescue them from metal cytotoxicity. These data suggest the induction of necrotic cell death rather than apoptosis and autophagy by metals in this osteoblastic cell line.","author":[{"dropping-particle":"","family":"Contreras","given":"René García","non-dropping-particle":"","parse-names":false,"suffix":""},{"dropping-particle":"","family":"Vilchis","given":"José Rogelio Scougall","non-dropping-particle":"","parse-names":false,"suffix":""},{"dropping-particle":"","family":"Sakagami","given":"Hiroshi","non-dropping-particle":"","parse-names":false,"suffix":""},{"dropping-particle":"","family":"Nakamura","given":"Yuko","non-dropping-particle":"","parse-names":false,"suffix":""},{"dropping-particle":"","family":"Nakamura","given":"Yukio","non-dropping-particle":"","parse-names":false,"suffix":""},{"dropping-particle":"","family":"Hibino","given":"Yasushi","non-dropping-particle":"","parse-names":false,"suffix":""},{"dropping-particle":"","family":"Nakajima","given":"Hiroshi","non-dropping-particle":"","parse-names":false,"suffix":""},{"dropping-particle":"","family":"Shimada","given":"Jun","non-dropping-particle":"","parse-names":false,"suffix":""}],"container-title":"In Vivo","id":"ITEM-5","issue":"4","issued":{"date-parts":[["2010"]]},"page":"507-512","title":"Type of cell death induced by seven metals in cultured mouse osteoblastic cells","type":"article-journal","volume":"24"},"uris":["http://www.mendeley.com/documents/?uuid=049ee254-701b-411e-9888-8f0503c37056"]}],"mendeley":{"formattedCitation":"[57–61]","plainTextFormattedCitation":"[57–61]","previouslyFormattedCitation":"[57–61]"},"properties":{"noteIndex":0},"schema":"https://github.com/citation-style-language/schema/raw/master/csl-citation.json"}</w:instrText>
      </w:r>
      <w:r w:rsidRPr="00D86888">
        <w:fldChar w:fldCharType="separate"/>
      </w:r>
      <w:r w:rsidR="003A62BC" w:rsidRPr="003A62BC">
        <w:rPr>
          <w:noProof/>
        </w:rPr>
        <w:t>[57–61]</w:t>
      </w:r>
      <w:r w:rsidRPr="00D86888">
        <w:fldChar w:fldCharType="end"/>
      </w:r>
      <w:r w:rsidRPr="00D86888">
        <w:t xml:space="preserve"> – there is a fine balance between </w:t>
      </w:r>
      <w:r w:rsidRPr="00D86888">
        <w:rPr>
          <w:i/>
        </w:rPr>
        <w:t>S. aureus</w:t>
      </w:r>
      <w:r w:rsidRPr="00D86888">
        <w:t xml:space="preserve"> toxicity and mammalian cell viability. However, in the 3D scaffold environment we found that in even at the highest CuBG concentration of 300%, mammalian cell number was not significantly reduced in comparison to the collagen control over the 28 days. </w:t>
      </w:r>
      <w:r w:rsidR="00CB44B8">
        <w:t>Furthermore, with</w:t>
      </w:r>
      <w:r w:rsidR="00CB44B8" w:rsidRPr="00D86888">
        <w:t xml:space="preserve"> the exception of the 300% </w:t>
      </w:r>
      <w:r w:rsidR="00CB44B8" w:rsidRPr="00D86888">
        <w:rPr>
          <w:noProof/>
        </w:rPr>
        <w:t>CuBG</w:t>
      </w:r>
      <w:r w:rsidR="00CB44B8" w:rsidRPr="00D86888">
        <w:t>-CS, there is an increase in cell number on all scaffolds containing bioactive glass</w:t>
      </w:r>
      <w:r w:rsidR="00CB44B8">
        <w:t xml:space="preserve"> which may </w:t>
      </w:r>
      <w:r w:rsidRPr="00D86888">
        <w:t>be partially attributed to the mechanical an</w:t>
      </w:r>
      <w:r w:rsidR="00CB44B8">
        <w:t>d microarchitectural properties</w:t>
      </w:r>
      <w:r w:rsidR="00CB44B8" w:rsidRPr="00D86888">
        <w:t xml:space="preserve"> of the BG-containing scaffolds; this would allow for</w:t>
      </w:r>
      <w:r w:rsidR="00CB44B8">
        <w:t xml:space="preserve"> </w:t>
      </w:r>
      <w:r w:rsidR="00CB44B8" w:rsidRPr="00D86888">
        <w:t>more mechanically robust pores for cell attachment, infiltration, and proliferation</w:t>
      </w:r>
      <w:r w:rsidR="00CB44B8">
        <w:t>.</w:t>
      </w:r>
    </w:p>
    <w:p w14:paraId="76A6CBB8" w14:textId="040541B4" w:rsidR="00432F4E" w:rsidRPr="00D86888" w:rsidRDefault="00C37E9B" w:rsidP="00432F4E">
      <w:r w:rsidRPr="00D86888">
        <w:t xml:space="preserve">We found that after trialling a number of different incorporation methods, that we can achieve a </w:t>
      </w:r>
      <w:r w:rsidRPr="00D86888">
        <w:rPr>
          <w:noProof/>
        </w:rPr>
        <w:t>homogeneous</w:t>
      </w:r>
      <w:r w:rsidRPr="00D86888">
        <w:t xml:space="preserve"> distribution of bioactive glass throughout the collagen scaffold. </w:t>
      </w:r>
      <w:r w:rsidRPr="00D86888">
        <w:rPr>
          <w:noProof/>
        </w:rPr>
        <w:t>The homogeneously</w:t>
      </w:r>
      <w:r w:rsidRPr="00D86888">
        <w:t xml:space="preserve"> distributed bioactive glass is advantageous as it would </w:t>
      </w:r>
      <w:r w:rsidRPr="00D86888">
        <w:rPr>
          <w:noProof/>
        </w:rPr>
        <w:t>result in</w:t>
      </w:r>
      <w:r w:rsidRPr="00D86888">
        <w:t xml:space="preserve"> </w:t>
      </w:r>
      <w:r w:rsidRPr="00D86888">
        <w:rPr>
          <w:noProof/>
        </w:rPr>
        <w:t>homogeneous</w:t>
      </w:r>
      <w:r w:rsidRPr="00D86888">
        <w:t xml:space="preserve"> mechanical properties, maximize surface area for contact with osteoprogenitor cells (and thus osteoconduction), and the </w:t>
      </w:r>
      <w:r w:rsidRPr="00D86888">
        <w:rPr>
          <w:noProof/>
        </w:rPr>
        <w:t>increased</w:t>
      </w:r>
      <w:r w:rsidRPr="00D86888">
        <w:t xml:space="preserve"> surface area </w:t>
      </w:r>
      <w:r w:rsidR="00B83A09">
        <w:t>might</w:t>
      </w:r>
      <w:r w:rsidR="00B83A09" w:rsidRPr="00D86888">
        <w:t xml:space="preserve"> </w:t>
      </w:r>
      <w:r w:rsidRPr="00D86888">
        <w:t xml:space="preserve">also increase ion release and improve degradation </w:t>
      </w:r>
      <w:r w:rsidRPr="00D86888">
        <w:fldChar w:fldCharType="begin" w:fldLock="1"/>
      </w:r>
      <w:r w:rsidR="002F5C61">
        <w:instrText>ADDIN CSL_CITATION {"citationItems":[{"id":"ITEM-1","itemData":{"DOI":"10.1016/j.bioactmat.2017.11.004","ISSN":"2452199X","author":[{"dropping-particle":"","family":"Chen","given":"Jianhui","non-dropping-particle":"","parse-names":false,"suffix":""},{"dropping-particle":"","family":"Zeng","given":"Lei","non-dropping-particle":"","parse-names":false,"suffix":""},{"dropping-particle":"","family":"Chen","given":"Xiaofeng","non-dropping-particle":"","parse-names":false,"suffix":""},{"dropping-particle":"","family":"Liao","given":"Tianshun","non-dropping-particle":"","parse-names":false,"suffix":""},{"dropping-particle":"","family":"Zheng","given":"Jiafu","non-dropping-particle":"","parse-names":false,"suffix":""}],"container-title":"Bioactive Materials","id":"ITEM-1","issue":"3","issued":{"date-parts":[["2017"]]},"page":"315-321","publisher":"Elsevier Ltd","title":"Preparation and characterization of bioactive glass tablets and evaluation of bioactivity and cytotoxicity in vitro","type":"article-journal","volume":"3"},"uris":["http://www.mendeley.com/documents/?uuid=3eafd143-bc3c-4732-96a2-399b8586c8f7"]},{"id":"ITEM-2","itemData":{"DOI":"10.17533/udea.redin.n80a05","ISSN":"02540770","abstract":"In the current study, a bioactive glass (BG) powder was prepared by sol-gel technique in the system SiO2-CaO-P2O5, and both, bioactive glass precursors (BGi) and the powder of bioactive glass (BGp) were used to produce crosslinked chitosan composite scaffolds (CH/BGi and CH/BGp), which were produced by lyophilization. The bioactive glass was analyzed to know its composition, crystallinity and morphology through Raman Spectroscopy (RS), X-Ray Diffraction (XRD) and Scanning Electron Microscopy (SEM), respectively. In addition, compression strength tests were carried out on the resulting composite scaffolds. Experimental results show that the fabricated CH/BG scaffolds might be a promising composite biomaterial for bone tissue engineering, due to the XRD results, showing a pollutant-free biomaterial, and, SEM shows bioactive glass particles homogenously distributed within the chitosan matrix which suggested that the developed composite scaffolds possess the prerequisites for tissue engineering and these can be used for tissue engineering applications. © 2017 Revista Tecnica de la Facultad de Ingeniera. All Rights Reserved.","author":[{"dropping-particle":"","family":"Escobar-Sierra","given":"Diana Marcela","non-dropping-particle":"","parse-names":false,"suffix":""},{"dropping-particle":"","family":"Posada-Carvajal","given":"Johnnatan Stiven","non-dropping-particle":"","parse-names":false,"suffix":""},{"dropping-particle":"","family":"Atehortúa-Soto","given":"Diego León","non-dropping-particle":"","parse-names":false,"suffix":""}],"container-title":"Revista Tecnica de la Facultad de Ingenieria Universidad del Zulia","id":"ITEM-2","issue":"4","issued":{"date-parts":[["2017"]]},"page":"30-36","title":"Fabrication of chitosan/bioactive glass composite scaffolds for medical applications","type":"article-journal","volume":"40"},"uris":["http://www.mendeley.com/documents/?uuid=6df04b0f-675a-4f23-a264-e05eaccc498d"]}],"mendeley":{"formattedCitation":"[62,63]","plainTextFormattedCitation":"[62,63]","previouslyFormattedCitation":"[62,63]"},"properties":{"noteIndex":0},"schema":"https://github.com/citation-style-language/schema/raw/master/csl-citation.json"}</w:instrText>
      </w:r>
      <w:r w:rsidRPr="00D86888">
        <w:fldChar w:fldCharType="separate"/>
      </w:r>
      <w:r w:rsidR="003A62BC" w:rsidRPr="003A62BC">
        <w:rPr>
          <w:noProof/>
        </w:rPr>
        <w:t>[62,63]</w:t>
      </w:r>
      <w:r w:rsidRPr="00D86888">
        <w:fldChar w:fldCharType="end"/>
      </w:r>
      <w:r w:rsidRPr="00D86888">
        <w:rPr>
          <w:noProof/>
        </w:rPr>
        <w:t>. Following</w:t>
      </w:r>
      <w:r w:rsidRPr="00D86888">
        <w:t xml:space="preserve"> addition of bioactive glass, all scaffolds remained over 98% porous. Previous work suggests porosities above 90% are necessary to ensure good cell infiltration and nutrient/waste transport throughout the construct; all scaffolds fabricated are in this range </w:t>
      </w:r>
      <w:r w:rsidRPr="00D86888">
        <w:fldChar w:fldCharType="begin" w:fldLock="1"/>
      </w:r>
      <w:r w:rsidR="002F5C61">
        <w:instrText>ADDIN CSL_CITATION {"citationItems":[{"id":"ITEM-1","itemData":{"author":[{"dropping-particle":"","family":"Gleeson","given":"John P","non-dropping-particle":"","parse-names":false,"suffix":""},{"dropping-particle":"","family":"O'Brien","given":"Fergal J","non-dropping-particle":"","parse-names":false,"suffix":""}],"container-title":"Advances in Composite Materials for Medicine and Nanotechnology","id":"ITEM-1","issued":{"date-parts":[["2011"]]},"page":"33-58","title":"Composite scaffolds for orthopaedic regenerative medicine","type":"article-journal"},"uris":["http://www.mendeley.com/documents/?uuid=5be820b1-bb86-35f3-b0fe-9bfb6f1b5ab9"]},{"id":"ITEM-2","itemData":{"DOI":"10.1016/j.biomaterials.2006.01.039","author":[{"dropping-particle":"","family":"Rezwan","given":"K","non-dropping-particle":"","parse-names":false,"suffix":""},{"dropping-particle":"","family":"Chen","given":"Q Z","non-dropping-particle":"","parse-names":false,"suffix":""},{"dropping-particle":"","family":"Blaker","given":"J J","non-dropping-particle":"","parse-names":false,"suffix":""},{"dropping-particle":"","family":"Roberto","given":"Aldo","non-dropping-particle":"","parse-names":false,"suffix":""}],"id":"ITEM-2","issued":{"date-parts":[["2006"]]},"page":"3413-3431","title":"Biodegradable and bioactive porous polymer / inorganic composite scaffolds for bone tissue engineering","type":"article-journal","volume":"27"},"uris":["http://www.mendeley.com/documents/?uuid=0992050a-d9d6-42fd-9032-0e97e8270afb"]}],"mendeley":{"formattedCitation":"[64,65]","plainTextFormattedCitation":"[64,65]","previouslyFormattedCitation":"[64,65]"},"properties":{"noteIndex":0},"schema":"https://github.com/citation-style-language/schema/raw/master/csl-citation.json"}</w:instrText>
      </w:r>
      <w:r w:rsidRPr="00D86888">
        <w:fldChar w:fldCharType="separate"/>
      </w:r>
      <w:r w:rsidR="003A62BC" w:rsidRPr="003A62BC">
        <w:rPr>
          <w:noProof/>
        </w:rPr>
        <w:t>[64,65]</w:t>
      </w:r>
      <w:r w:rsidRPr="00D86888">
        <w:fldChar w:fldCharType="end"/>
      </w:r>
      <w:r w:rsidRPr="00D86888">
        <w:t xml:space="preserve">. Additionally, the pore sizes in the developed CuBG-CS are within the ideal range for tissue engineering applications. Previous </w:t>
      </w:r>
      <w:r w:rsidRPr="00D86888">
        <w:lastRenderedPageBreak/>
        <w:t xml:space="preserve">studies have shown that pores of 40-100 μm show good cell viability and bone formation and pores within the 10-160 μm range are recommended for functional blood vessel formation </w:t>
      </w:r>
      <w:r w:rsidRPr="00D86888">
        <w:fldChar w:fldCharType="begin" w:fldLock="1"/>
      </w:r>
      <w:r w:rsidR="002F5C61">
        <w:instrText>ADDIN CSL_CITATION {"citationItems":[{"id":"ITEM-1","itemData":{"DOI":"10.1016/j.biomaterials.2003.10.086","ISBN":"0142-9612 (Print)\\r0142-9612 (Linking)","ISSN":"01429612","PMID":"15046889","abstract":"A novel micro-cellular polymer with a well-defined and uniform micro-architecture has been developed as a three-dimensional support matrix for in vitro tissue engineering applications. This material is manufactured through a high internal phase emulsion (HIPE) polymerization route and may be modified with hydroxyapatite. The generic form of the support is known as PolyHIPE Polymer (PHP). By changing the chemical composition of the emulsion and the processing conditions, the pore size can be altered from sub-micron range to a few hundred microns and the porosity varied from 70% to 97%. Our work has investigated the use of this micro-porous polymer as a biomaterial to support the growth of osteoblasts, the bone forming cells in vitro. Three groups of polymers were used that had pore sizes of 40, 60 and 100μm. Results demonstrated in vitro cell-polymer compatibility, with osteoblasts forming multicellular layers on the polymer surface and also migrating to a maximum depth of 1.4mm inside the scaffold after 35 days in culture. PHP was also able to support the differentiation of osteoblasts and the production of a bone-like matrix. The effect of modifying the polymer with hydroxyapatite was also studied and showed that there was a significant increase in osteoblast numbers penetrating into the polymer. There were few differences, between the pore sizes studied, on the overall penetration of osteoblasts into the polymer but the rate of movement into 100μm PHP was significantly higher compared to the other sizes investigated. This study shows that osteoblasts seeded onto PHP demonstrate cellular attachment, proliferation and ingrowth leading to the support of an osteoblastic phenotype. Therefore this highly porous scaffold has a potential for bone tissue engineering. © 2003 Elsevier Ltd. All rights reserved.","author":[{"dropping-particle":"","family":"Akay","given":"G.","non-dropping-particle":"","parse-names":false,"suffix":""},{"dropping-particle":"","family":"Birch","given":"M. A.","non-dropping-particle":"","parse-names":false,"suffix":""},{"dropping-particle":"","family":"Bokhari","given":"M. A.","non-dropping-particle":"","parse-names":false,"suffix":""}],"container-title":"Biomaterials","id":"ITEM-1","issue":"18","issued":{"date-parts":[["2004"]]},"page":"3991-4000","title":"Microcellular polyHIPE polymer supports osteoblast growth and bone formation in vitro","type":"article-journal","volume":"25"},"uris":["http://www.mendeley.com/documents/?uuid=e99f119f-0075-4ad0-9f77-b0b122009ece"]},{"id":"ITEM-2","itemData":{"DOI":"10.1073/pnas.1006442107","ISBN":"1091-6490 (Electronic) 0027-8424 (Linking)","ISSN":"1091-6490","PMID":"20696917","abstract":"We demonstrate here a cardiac tissue-engineering strategy addressing multicellular organization, integration into host myocardium, and directional cues to reconstruct the functional architecture of heart muscle. Microtemplating is used to shape poly(2-hydroxyethyl methacrylate-co-methacrylic acid) hydrogel into a tissue-engineering scaffold with architectures driving heart tissue integration. The construct contains parallel channels to organize cardiomyocyte bundles, supported by micrometer-sized, spherical, interconnected pores that enhance angiogenesis while reducing scarring. Surface-modified scaffolds were seeded with human ES cell-derived cardiomyocytes and cultured in vitro. Cardiomyocytes survived and proliferated for 2 wk in scaffolds, reaching adult heart densities. Cardiac implantation of acellular scaffolds with pore diameters of 30-40 microm showed angiogenesis and reduced fibrotic response, coinciding with a shift in macrophage phenotype toward the M2 state. This work establishes a foundation for spatially controlled cardiac tissue engineering by providing discrete compartments for cardiomyocytes and stroma in a scaffold that enhances vascularization and integration while controlling the inflammatory response.","author":[{"dropping-particle":"","family":"Madden","given":"Lauran R","non-dropping-particle":"","parse-names":false,"suffix":""},{"dropping-particle":"","family":"Mortisen","given":"Derek J","non-dropping-particle":"","parse-names":false,"suffix":""},{"dropping-particle":"","family":"Sussman","given":"Eric M","non-dropping-particle":"","parse-names":false,"suffix":""},{"dropping-particle":"","family":"Dupras","given":"Sarah K","non-dropping-particle":"","parse-names":false,"suffix":""},{"dropping-particle":"","family":"Fugate","given":"James A","non-dropping-particle":"","parse-names":false,"suffix":""},{"dropping-particle":"","family":"Cuy","given":"Janet L","non-dropping-particle":"","parse-names":false,"suffix":""},{"dropping-particle":"","family":"Hauch","given":"Kip D","non-dropping-particle":"","parse-names":false,"suffix":""},{"dropping-particle":"","family":"Laflamme","given":"Michael A","non-dropping-particle":"","parse-names":false,"suffix":""},{"dropping-particle":"","family":"Murry","given":"Charles E","non-dropping-particle":"","parse-names":false,"suffix":""},{"dropping-particle":"","family":"Ratner","given":"Buddy D","non-dropping-particle":"","parse-names":false,"suffix":""}],"container-title":"Proceedings of the National Academy of Sciences of the United States of America","id":"ITEM-2","issue":"34","issued":{"date-parts":[["2010"]]},"page":"15211-6","title":"Proangiogenic scaffolds as functional templates for cardiac tissue engineering.","type":"article-journal","volume":"107"},"uris":["http://www.mendeley.com/documents/?uuid=6f662e28-cf1a-4c6c-8253-53b2be46633f"]},{"id":"ITEM-3","itemData":{"DOI":"10.1089/ten.TEB.2012.0437","ISBN":"1937-3376 (Electronic)\\r1937-3368 (Linking)","ISSN":"1937-3376","PMID":"23672709","abstract":"Tissue engineering applications commonly encompass the use of three-dimensional (3D) scaffolds to provide a suitable microenvironment for the incorporation of cells or growth factors to regenerate damaged tissues or organs. These scaffolds serve to mimic the actual in vivo microenvironment where cells interact and behave according to the mechanical cues obtained from the surrounding 3D environment. Hence, the material properties of the scaffolds are vital in determining cellular response and fate. These 3D scaffolds are generally highly porous with interconnected pore networks to facilitate nutrient and oxygen diffusion and waste removal. This review focuses on the various fabrication techniques (e.g., conventional and rapid prototyping methods) that have been employed to fabricate 3D scaffolds of different pore sizes and porosity. The different pore size and porosity measurement methods will also be discussed. Scaffolds with graded porosity have also been studied for their ability to better represent the actual in vivo situation where cells are exposed to layers of different tissues with varying properties. In addition, the ability of pore size and porosity of scaffolds to direct cellular responses and alter the mechanical properties of scaffolds will be reviewed, followed by a look at nature's own scaffold, the extracellular matrix. Overall, the limitations of current scaffold fabrication approaches for tissue engineering applications and some novel and promising alternatives will be highlighted.","author":[{"dropping-particle":"","family":"Loh","given":"Qiu Li","non-dropping-particle":"","parse-names":false,"suffix":""},{"dropping-particle":"","family":"Choong","given":"Cleo","non-dropping-particle":"","parse-names":false,"suffix":""}],"container-title":"Tissue engineering. Part B, Reviews","id":"ITEM-3","issue":"6","issued":{"date-parts":[["2013"]]},"page":"485-502","title":"Three-dimensional scaffolds for tissue engineering applications: role of porosity and pore size","type":"article-journal","volume":"19"},"uris":["http://www.mendeley.com/documents/?uuid=2956945c-667e-43ce-89da-013686f09331"]}],"mendeley":{"formattedCitation":"[51–53]","plainTextFormattedCitation":"[51–53]","previouslyFormattedCitation":"[51–53]"},"properties":{"noteIndex":0},"schema":"https://github.com/citation-style-language/schema/raw/master/csl-citation.json"}</w:instrText>
      </w:r>
      <w:r w:rsidRPr="00D86888">
        <w:fldChar w:fldCharType="separate"/>
      </w:r>
      <w:r w:rsidR="003A62BC" w:rsidRPr="003A62BC">
        <w:rPr>
          <w:noProof/>
        </w:rPr>
        <w:t>[51–53]</w:t>
      </w:r>
      <w:r w:rsidRPr="00D86888">
        <w:fldChar w:fldCharType="end"/>
      </w:r>
      <w:r w:rsidRPr="00D86888">
        <w:t xml:space="preserve">. Thus, we can surmise that the scaffold </w:t>
      </w:r>
      <w:r w:rsidRPr="00D86888">
        <w:rPr>
          <w:noProof/>
        </w:rPr>
        <w:t>mean</w:t>
      </w:r>
      <w:r w:rsidRPr="00D86888">
        <w:t xml:space="preserve"> pore size range of 68-79 μm that we achieved is suitable for both osteogenesis and angiogenesis. Additionally, the scaffold compressive modulus was increased upon the addition of CuBG, with stiffness increased </w:t>
      </w:r>
      <w:r w:rsidR="008E0CF9">
        <w:t xml:space="preserve">by 1.6-fold in 100% CuBG-CS and </w:t>
      </w:r>
      <w:r w:rsidRPr="00D86888">
        <w:t>significantly by 2.7-fold in 300% CuBG scaffolds vs collagen alone. The incorporation of a ceramic into collagen-based scaffolds has been shown previously in our research group to increase stiffness</w:t>
      </w:r>
      <w:r w:rsidR="006134E3" w:rsidRPr="00D86888">
        <w:t xml:space="preserve"> </w:t>
      </w:r>
      <w:r w:rsidRPr="00D86888">
        <w:fldChar w:fldCharType="begin" w:fldLock="1"/>
      </w:r>
      <w:r w:rsidR="002F5C61">
        <w:instrText>ADDIN CSL_CITATION {"citationItems":[{"id":"ITEM-1","itemData":{"DOI":"10.1016/j.biomaterials.2015.02.006","author":[{"dropping-particle":"","family":"Quinlan","given":"Elaine","non-dropping-particle":"","parse-names":false,"suffix":""},{"dropping-particle":"","family":"Azevedo","given":"Maria","non-dropping-particle":"","parse-names":false,"suffix":""},{"dropping-particle":"","family":"O'Brien","given":"Fergal J","non-dropping-particle":"","parse-names":false,"suffix":""}],"container-title":"Biomaterials","id":"ITEM-1","issued":{"date-parts":[["2015"]]},"page":"358-366","title":"Hypoxia-mimicking bioactive glass / collagen glycosaminoglycan composite scaffolds to enhance angiogenesis and bone repair","type":"article-journal","volume":"52"},"uris":["http://www.mendeley.com/documents/?uuid=cddeb5bf-444f-4515-b4b1-074f16491542"]},{"id":"ITEM-2","itemData":{"author":[{"dropping-particle":"","family":"Gleeson","given":"J P","non-dropping-particle":"","parse-names":false,"suffix":""},{"dropping-particle":"","family":"Plunkett","given":"N A","non-dropping-particle":"","parse-names":false,"suffix":""},{"dropping-particle":"","family":"O'Brien","given":"Fergal J.","non-dropping-particle":"","parse-names":false,"suffix":""}],"container-title":"European Cells and Materials","id":"ITEM-2","issued":{"date-parts":[["2010"]]},"page":"218-230","title":"Addition of hydroxyapatite improves stiffness, interconnectivity and osteogenic potential of a highly porous collagen-based scaffold for bone tissue regeneration","type":"article-journal","volume":"20"},"uris":["http://www.mendeley.com/documents/?uuid=8e6ba347-5542-4cb4-bb48-354cac64a606"]}],"mendeley":{"formattedCitation":"[37,66]","plainTextFormattedCitation":"[37,66]","previouslyFormattedCitation":"[37,66]"},"properties":{"noteIndex":0},"schema":"https://github.com/citation-style-language/schema/raw/master/csl-citation.json"}</w:instrText>
      </w:r>
      <w:r w:rsidRPr="00D86888">
        <w:fldChar w:fldCharType="separate"/>
      </w:r>
      <w:r w:rsidR="003A62BC" w:rsidRPr="003A62BC">
        <w:rPr>
          <w:noProof/>
        </w:rPr>
        <w:t>[37,66]</w:t>
      </w:r>
      <w:r w:rsidRPr="00D86888">
        <w:fldChar w:fldCharType="end"/>
      </w:r>
      <w:r w:rsidRPr="00D86888">
        <w:t xml:space="preserve">. This increase in stiffness is desirable for improved cell infiltration and proliferation and also for bone repair applications, as it has previously been shown that increased construct stiffness can influence the differentiation of mesenchymal stem cells (MSC) down an osteogenic lineage </w:t>
      </w:r>
      <w:r w:rsidRPr="00D86888">
        <w:fldChar w:fldCharType="begin" w:fldLock="1"/>
      </w:r>
      <w:r w:rsidR="002F5C61">
        <w:instrText>ADDIN CSL_CITATION {"citationItems":[{"id":"ITEM-1","itemData":{"DOI":"10.1016/j.cell.2006.06.044","ISBN":"0092-8674 (Print)\\n0092-8674 (Linking)","ISSN":"00928674","PMID":"16923388","abstract":"Microenvironments appear important in stem cell lineage specification but can be difficult to adequately characterize or control with soft tissues. Naive mesenchymal stem cells (MSCs) are shown here to specify lineage and commit??to phenotypes with extreme sensitivity to tissue-level elasticity. Soft matrices that mimic brain are neurogenic, stiffer matrices that mimic muscle are myogenic, and comparatively rigid matrices that mimic collagenous bone prove osteogenic. During the initial week in culture, reprogramming of these lineages is possible with addition of soluble induction factors, but after several weeks in culture, the cells commit to the lineage specified by matrix elasticity, consistent with the elasticity-insensitive commitment of differentiated cell types. Inhibition of nonmuscle myosin II blocks all elasticity-directed lineage specification-without strongly perturbing many other aspects of cell function and shape. The results have significant implications for understanding physical effects of the in vivo microenvironment and also for therapeutic uses of stem cells. ?? 2006 Elsevier Inc. All rights reserved.","author":[{"dropping-particle":"","family":"Engler","given":"Adam J.","non-dropping-particle":"","parse-names":false,"suffix":""},{"dropping-particle":"","family":"Sen","given":"Shamik","non-dropping-particle":"","parse-names":false,"suffix":""},{"dropping-particle":"","family":"Sweeney","given":"H. Lee","non-dropping-particle":"","parse-names":false,"suffix":""},{"dropping-particle":"","family":"Discher","given":"Dennis E.","non-dropping-particle":"","parse-names":false,"suffix":""}],"container-title":"Cell","id":"ITEM-1","issue":"4","issued":{"date-parts":[["2006"]]},"page":"677-689","title":"Matrix elasticity directs stem cell lineage specification","type":"article-journal","volume":"126"},"uris":["http://www.mendeley.com/documents/?uuid=2b3906fa-d436-431d-bcc0-f6368748100e"]}],"mendeley":{"formattedCitation":"[67]","plainTextFormattedCitation":"[67]","previouslyFormattedCitation":"[67]"},"properties":{"noteIndex":0},"schema":"https://github.com/citation-style-language/schema/raw/master/csl-citation.json"}</w:instrText>
      </w:r>
      <w:r w:rsidRPr="00D86888">
        <w:fldChar w:fldCharType="separate"/>
      </w:r>
      <w:r w:rsidR="003A62BC" w:rsidRPr="003A62BC">
        <w:rPr>
          <w:noProof/>
        </w:rPr>
        <w:t>[67]</w:t>
      </w:r>
      <w:r w:rsidRPr="00D86888">
        <w:fldChar w:fldCharType="end"/>
      </w:r>
      <w:r w:rsidRPr="00D86888">
        <w:t>. Additionally, th</w:t>
      </w:r>
      <w:r w:rsidR="00B83A09">
        <w:t>e</w:t>
      </w:r>
      <w:r w:rsidRPr="00D86888">
        <w:t xml:space="preserve"> increase in compressive modulus </w:t>
      </w:r>
      <w:r w:rsidR="00933526" w:rsidRPr="00D86888">
        <w:t xml:space="preserve">we achieved is within the range of commercially available competitors and </w:t>
      </w:r>
      <w:r w:rsidRPr="00D86888">
        <w:t>would also improve surgical handling due to the increased resistance to deformation, which would also maintain the critically important porosity and pore size</w:t>
      </w:r>
      <w:r w:rsidR="00933526" w:rsidRPr="00D86888">
        <w:t xml:space="preserve"> </w:t>
      </w:r>
      <w:bookmarkStart w:id="59" w:name="_Hlk532902795"/>
      <w:r w:rsidR="00933526" w:rsidRPr="00D86888">
        <w:fldChar w:fldCharType="begin" w:fldLock="1"/>
      </w:r>
      <w:r w:rsidR="0045705E">
        <w:instrText>ADDIN CSL_CITATION {"citationItems":[{"id":"ITEM-1","itemData":{"author":[{"dropping-particle":"","family":"Gleeson","given":"J P","non-dropping-particle":"","parse-names":false,"suffix":""},{"dropping-particle":"","family":"Plunkett","given":"N A","non-dropping-particle":"","parse-names":false,"suffix":""},{"dropping-particle":"","family":"O'Brien","given":"Fergal J.","non-dropping-particle":"","parse-names":false,"suffix":""}],"container-title":"European Cells and Materials","id":"ITEM-1","issued":{"date-parts":[["2010"]]},"page":"218-230","title":"Addition of hydroxyapatite improves stiffness, interconnectivity and osteogenic potential of a highly porous collagen-based scaffold for bone tissue regeneration","type":"article-journal","volume":"20"},"uris":["http://www.mendeley.com/documents/?uuid=8e6ba347-5542-4cb4-bb48-354cac64a606"]}],"mendeley":{"formattedCitation":"[37]","plainTextFormattedCitation":"[37]","previouslyFormattedCitation":"[37]"},"properties":{"noteIndex":0},"schema":"https://github.com/citation-style-language/schema/raw/master/csl-citation.json"}</w:instrText>
      </w:r>
      <w:r w:rsidR="00933526" w:rsidRPr="00D86888">
        <w:fldChar w:fldCharType="separate"/>
      </w:r>
      <w:r w:rsidR="00907868" w:rsidRPr="00907868">
        <w:rPr>
          <w:noProof/>
        </w:rPr>
        <w:t>[37]</w:t>
      </w:r>
      <w:r w:rsidR="00933526" w:rsidRPr="00D86888">
        <w:fldChar w:fldCharType="end"/>
      </w:r>
      <w:r w:rsidR="00933526" w:rsidRPr="00D86888">
        <w:t>.</w:t>
      </w:r>
      <w:bookmarkEnd w:id="59"/>
    </w:p>
    <w:p w14:paraId="77E23618" w14:textId="3BCE1980" w:rsidR="00C37E9B" w:rsidRPr="00D86888" w:rsidRDefault="00C37E9B" w:rsidP="00432F4E">
      <w:r w:rsidRPr="00D86888">
        <w:t xml:space="preserve">It is widely </w:t>
      </w:r>
      <w:r w:rsidR="00B83A09">
        <w:t>described</w:t>
      </w:r>
      <w:r w:rsidR="00B83A09" w:rsidRPr="00D86888">
        <w:t xml:space="preserve"> </w:t>
      </w:r>
      <w:r w:rsidRPr="00D86888">
        <w:t xml:space="preserve">in the literature that bioactive glass is both osteoconductive and osteoinductive </w:t>
      </w:r>
      <w:r w:rsidRPr="00D86888">
        <w:fldChar w:fldCharType="begin" w:fldLock="1"/>
      </w:r>
      <w:r w:rsidR="002F5C61">
        <w:instrText>ADDIN CSL_CITATION {"citationItems":[{"id":"ITEM-1","itemData":{"DOI":"10.1016/j.actbio.2011.03.016","ISBN":"1552-4981","ISSN":"15493296","PMID":"24027222","author":[{"dropping-particle":"","family":"Rahaman","given":"Mohamed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Biomaterialia","id":"ITEM-1","issue":"6","issued":{"date-parts":[["2011"]]},"page":"2355-2373","title":"Bioactive glass in tissue engineering","type":"article-journal","volume":"7"},"uris":["http://www.mendeley.com/documents/?uuid=1bcca86c-ba13-4b53-ad93-a3a1b063e463"]},{"id":"ITEM-2","itemData":{"DOI":"10.3390/ma3073867","ISBN":"1996-1944","ISSN":"1996-1944","PMID":"16336997","abstract":"Traditionally, bioactive glasses have been used to fill and restore bone defects. More recently, this category of biomaterials has become an emerging research field for bone tissue engineering applications. Here, we review and discuss current knowledge on porous bone tissue engineering scaffolds on the basis of melt-derived bioactive silicate glass compositions and relevant composite structures. Starting with an excerpt on the history of bioactive glasses, as well as on fundamental requirements for bone tissue engineering scaffolds, a detailed overview on recent developments of bioactive glass and glass-ceramic scaffolds will be given, including a summary of common fabrication methods and a discussion on the microstructural-mechanical properties of scaffolds in relation to human bone (structure-property and structure-function relationship). In addition, ion release effects of bioactive glasses concerning osteogenic and angiogenic responses are addressed. Finally, areas of future research are highlighted in this review.","author":[{"dropping-particle":"","family":"Gerhardt","given":"Lutz-Christian","non-dropping-particle":"","parse-names":false,"suffix":""},{"dropping-particle":"","family":"Boccaccini","given":"Aldo R.","non-dropping-particle":"","parse-names":false,"suffix":""}],"container-title":"Materials","id":"ITEM-2","issue":"7","issued":{"date-parts":[["2010"]]},"page":"3867-3910","title":"Bioactive glass and glass-ceramic scaffolds for bone tissue engineering","type":"article-journal","volume":"3"},"uris":["http://www.mendeley.com/documents/?uuid=01b28a7c-4b44-4458-93d4-a969e8f4b544"]},{"id":"ITEM-3","itemData":{"DOI":"10.1111/j.1151-2916.1998.tb02540.x","ISBN":"1551-2916","ISSN":"00027820","abstract":"Ceramics used for the repair and reconstruction of diseased or damaged parts of the musculo-skeletal system, termed bioceramics, may be bioinert (e.g., alumina and zirconia), resorbable (e.g., tricalcium phosphate), bioactive (e.g., hy- droxyapatite, bioactive glasses, and glass-ceramics), or po- rous for tissue ingrowth (e.g., hydroxyapatite-coated met- als). Applications include replacements for hips, knees, teeth, tendons, and ligaments and repair for periodontal disease, maxillofacial reconstruction, augmentation and stabilization of the jaw bone, spinal fusion, and bone repair after tumor surgery. Pyrolytic carbon coatings are throm- boresistant and are used for prosthetic heart valves. The mechanisms of tissue bonding to bioactive ceramics have resulted in the molecular design of bioceramics for inter- facial bonding with hard and soft tissue. Bioactive compos- ites are being developed with high toughness and elastic modulus that match with bone. Therapeutic treatment of cancer has been achieved by localized delivery of radioac- tive isotopes via glass beads. Clinical success of bioceramics has led to a remarkable advance in the quality of life for millions of people. I.","author":[{"dropping-particle":"","family":"Hench","given":"Larry L","non-dropping-particle":"","parse-names":false,"suffix":""}],"container-title":"Journal of the American Ceramic Society","id":"ITEM-3","issue":"7","issued":{"date-parts":[["1998"]]},"page":"1705-1728","title":"Bioceramics","type":"article-journal","volume":"81"},"uris":["http://www.mendeley.com/documents/?uuid=9550267b-5231-4110-833c-04d2e4b8ccd7"]}],"mendeley":{"formattedCitation":"[17,68,69]","plainTextFormattedCitation":"[17,68,69]","previouslyFormattedCitation":"[17,68,69]"},"properties":{"noteIndex":0},"schema":"https://github.com/citation-style-language/schema/raw/master/csl-citation.json"}</w:instrText>
      </w:r>
      <w:r w:rsidRPr="00D86888">
        <w:fldChar w:fldCharType="separate"/>
      </w:r>
      <w:r w:rsidR="003A62BC" w:rsidRPr="003A62BC">
        <w:rPr>
          <w:noProof/>
        </w:rPr>
        <w:t>[17,68,69]</w:t>
      </w:r>
      <w:r w:rsidRPr="00D86888">
        <w:fldChar w:fldCharType="end"/>
      </w:r>
      <w:r w:rsidRPr="00D86888">
        <w:t xml:space="preserve">, </w:t>
      </w:r>
      <w:r w:rsidRPr="00D86888">
        <w:rPr>
          <w:noProof/>
        </w:rPr>
        <w:t>additionally,</w:t>
      </w:r>
      <w:r w:rsidRPr="00D86888">
        <w:t xml:space="preserve"> it has also been shown that copper ions can promote osteogenesis</w:t>
      </w:r>
      <w:r w:rsidR="0045705E">
        <w:t xml:space="preserve"> </w:t>
      </w:r>
      <w:r w:rsidR="0045705E">
        <w:fldChar w:fldCharType="begin" w:fldLock="1"/>
      </w:r>
      <w:r w:rsidR="002F5C61">
        <w:instrText>ADDIN CSL_CITATION {"citationItems":[{"id":"ITEM-1","itemData":{"DOI":"10.1039/c4tb01355g","ISBN":"2050-750X 2050-7518","ISSN":"2050750X","abstract":"Biocompatible synthetic scaffolds with enhanced osteogenic and angiogenic capacity are of great interest for the repair of large (critical size) bone defects. In this study, we investigated an approach based on the controlled delivery of copper (Cu) ions from borate bioactive glass scaffolds for stimulating angiogenesis and osteogenesis in a rodent calvarial defect model. Borate glass scaffolds (pore size = 200–400 μm) doped with varying amounts of Cu (0–3.0 wt% CuO) were created using a polymer foam replication technique. When immersed in simulated body fluid (SBF) in vitro, the scaffolds released Cu ions into the medium at a rate that was dependent on the amount of Cu in the glass and simultaneously converted to hydroxyapatite (HA). At the concentrations used, the Cu in the glass was not cytotoxic to human bone marrow derived stem cells (hBMSCs) cultured on the scaffolds and the alkaline phosphatase activity of the hBMSCs increased with increasing Cu in the glass. When implanted in rat calvarial defects for 8 weeks, the scaffolds doped with 3 wt% CuO showed a significantly better capacity to stimulate angiogenesis and regenerate bone when compared to the undoped glass scaffolds. Together, these results indicate that the controlled delivery of Cu ions from borate bioactive glass implants is a promising approach in healing bone defects.","author":[{"dropping-particle":"","family":"Wang","given":"Hui","non-dropping-particle":"","parse-names":false,"suffix":""},{"dropping-particle":"","family":"Zhao","given":"Shichang","non-dropping-particle":"","parse-names":false,"suffix":""},{"dropping-particle":"","family":"Zhou","given":"Jie","non-dropping-particle":"","parse-names":false,"suffix":""},{"dropping-particle":"","family":"Shen","given":"Youqu","non-dropping-particle":"","parse-names":false,"suffix":""},{"dropping-particle":"","family":"Huang","given":"Wenhai","non-dropping-particle":"","parse-names":false,"suffix":""},{"dropping-particle":"","family":"Zhang","given":"Changqing","non-dropping-particle":"","parse-names":false,"suffix":""},{"dropping-particle":"","family":"Rahaman","given":"Mohamed N.","non-dropping-particle":"","parse-names":false,"suffix":""},{"dropping-particle":"","family":"Wang","given":"Deping","non-dropping-particle":"","parse-names":false,"suffix":""}],"container-title":"Journal of Materials Chemistry B","id":"ITEM-1","issue":"48","issued":{"date-parts":[["2014"]]},"page":"8547-8557","publisher":"Royal Society of Chemistry","title":"Evaluation of borate bioactive glass scaffolds as a controlled delivery system for copper ions in stimulating osteogenesis and angiogenesis in bone healing","type":"article-journal","volume":"2"},"uris":["http://www.mendeley.com/documents/?uuid=0b14aa3e-5f62-496d-8aa3-cecc87758cc3"]},{"id":"ITEM-2","itemData":{"DOI":"10.1016/j.msec.2016.05.073","ISBN":"0928-4931","ISSN":"09284931","PMID":"27287141","abstract":"The release of inorganic ions from biomaterials could provide an alternative approach to the use of growth factors for improving tissue healing. In the present study, the release of copper (Cu) ions from bioactive silicate (13-93) glass scaffolds on the response of cells in vitro and on bone regeneration and angiogenesis in vivo was studied. Scaffolds doped with varying concentrations of Cu (0-2.0 wt.% CuO) were created with a grid-like microstructure by robotic deposition. When immersed in simulated body fluid in vitro, the Cu-doped scaffolds released Cu ions into the medium in a dose-dependent manner and converted partially to hydroxyapatite. The proliferation and alkaline phosphatase activity of pre-osteoblastic MC3T3-E1 cells cultured on the scaffolds were not affected by 0.4 and 0.8 wt.% CuO in the glass but they were significantly reduced by 2.0 wt.% CuO. The percent new bone that infiltrated the scaffolds implanted for 6 weeks in rat calvarial defects (46 ± 8%) was not significantly affected by 0.4 or 0.8 wt.% CuO in the glass whereas it was significantly inhibited (0.8 ± 0.7%) in the scaffolds doped with 2.0 wt.% CuO. The area of new blood vessels in the fibrous tissue that infiltrated the scaffolds increased with CuO content of the glass and was significantly higher for the scaffolds doped with 2.0 wt.% CuO. Loading the scaffolds with bone morphogenetic protein-2 (1 μg/defect) significantly enhanced bone infiltration and reduced fibrous tissue in the scaffolds. These results showed that doping the 13-93 glass scaffolds with up to 0.8 wt.% CuO did not affect their biocompatibility whereas 2.0 wt.% CuO was toxic to cells and detrimental to bone regeneration.","author":[{"dropping-particle":"","family":"Lin","given":"Yinan","non-dropping-particle":"","parse-names":false,"suffix":""},{"dropping-particle":"","family":"Xiao","given":"Wei","non-dropping-particle":"","parse-names":false,"suffix":""},{"dropping-particle":"","family":"Bal","given":"B. Sonny","non-dropping-particle":"","parse-names":false,"suffix":""},{"dropping-particle":"","family":"Rahaman","given":"Mohamed N.","non-dropping-particle":"","parse-names":false,"suffix":""}],"container-title":"Materials Science and Engineering C","id":"ITEM-2","issued":{"date-parts":[["2016"]]},"page":"440-452","publisher":"Elsevier B.V.","title":"Effect of copper-doped silicate 13-93 bioactive glass scaffolds on the response of MC3T3-E1 cells in vitro and on bone regeneration and angiogenesis in rat calvarial defects in vivo","type":"article-journal","volume":"67"},"uris":["http://www.mendeley.com/documents/?uuid=00e0b3e2-f1b1-482f-9df3-dc4f9642453d"]}],"mendeley":{"formattedCitation":"[70,71]","plainTextFormattedCitation":"[70,71]","previouslyFormattedCitation":"[70,71]"},"properties":{"noteIndex":0},"schema":"https://github.com/citation-style-language/schema/raw/master/csl-citation.json"}</w:instrText>
      </w:r>
      <w:r w:rsidR="0045705E">
        <w:fldChar w:fldCharType="separate"/>
      </w:r>
      <w:r w:rsidR="003A62BC" w:rsidRPr="003A62BC">
        <w:rPr>
          <w:noProof/>
        </w:rPr>
        <w:t>[70,71]</w:t>
      </w:r>
      <w:r w:rsidR="0045705E">
        <w:fldChar w:fldCharType="end"/>
      </w:r>
      <w:r w:rsidRPr="00D86888">
        <w:t>. This is consistent with our observations herein: significantly increased calcium deposition 300% CuBG-CS at day 14 and day 28 in comparison to the non-copper doped BG-CS and collagen only controls. Similarly, a previous</w:t>
      </w:r>
      <w:r w:rsidR="00231A9B" w:rsidRPr="00D86888">
        <w:t xml:space="preserve"> in vivo</w:t>
      </w:r>
      <w:r w:rsidRPr="00D86888">
        <w:t xml:space="preserve"> study has shown that 3% (wt) copper-doped bioactive glass can enhance blood vessel </w:t>
      </w:r>
      <w:r w:rsidR="00231A9B" w:rsidRPr="00D86888">
        <w:t xml:space="preserve">formation and bone regeneration </w:t>
      </w:r>
      <w:r w:rsidRPr="00D86888">
        <w:fldChar w:fldCharType="begin" w:fldLock="1"/>
      </w:r>
      <w:r w:rsidR="002F5C61">
        <w:instrText>ADDIN CSL_CITATION {"citationItems":[{"id":"ITEM-1","itemData":{"DOI":"10.1016/j.actbio.2014.12.010","ISSN":"1878-7568","PMID":"25534470","abstract":"There is growing interest in the use of synthetic biomaterials to deliver inorganic ions that are known to stimulate angiogenesis and osteogenesis in vivo. In the present study, we investigated the effects of varying amounts of copper in a bioactive glass on the response of human bone marrow-derived mesenchymal stem cells (hBMSCs) in vitro and on blood vessel formation and bone regeneration in rat calvarial defects in vivo. Porous scaffolds of a borosilicate bioactive glass (composition 6Na2O, 8K2O, 8MgO, 22CaO, 36B2O3, 18SiO2, 2P2O5, mol.%) doped with 0.5, 1.0 and 3.0wt.% CuO were created using a foam replication method. When immersed in simulated body fluid, the scaffolds released Cu ions into the medium and converted to hydroxyapatite. At the concentrations used, the Cu in the glass was not toxic to the hBMSCs cultured on the scaffolds in vitro. The alkaline phosphatase activity of the hBMSCs and the expression levels of angiogenic-related genes (vascular endothelial growth factor and basic fibroblast growth factor) and osteogenic-related genes (runt-related transcription factor 2, bone morphogenetic protein-2 and osteopontin) increased significantly with increasing amount of Cu in the glass. When implanted in rat calvarial defects in vivo, the scaffolds (3wt.% CuO) significantly enhanced both blood vessel formation and bone regeneration in the defects at 8weeks post-implantation. These results show that doping bioactive glass implants with Cu is a promising approach for enhancing angiogenesis and osteogenesis in the healing of osseous defects.","author":[{"dropping-particle":"","family":"Zhao","given":"Shichang","non-dropping-particle":"","parse-names":false,"suffix":""},{"dropping-particle":"","family":"Wang","given":"Hui","non-dropping-particle":"","parse-names":false,"suffix":""},{"dropping-particle":"","family":"Zhang","given":"Yadong","non-dropping-particle":"","parse-names":false,"suffix":""},{"dropping-particle":"","family":"Huang","given":"Wenhai","non-dropping-particle":"","parse-names":false,"suffix":""},{"dropping-particle":"","family":"Rahaman","given":"Mohamed N","non-dropping-particle":"","parse-names":false,"suffix":""},{"dropping-particle":"","family":"Liu","given":"Zhongtang","non-dropping-particle":"","parse-names":false,"suffix":""},{"dropping-particle":"","family":"Wang","given":"Deping","non-dropping-particle":"","parse-names":false,"suffix":""},{"dropping-particle":"","family":"Zhang","given":"Changqing","non-dropping-particle":"","parse-names":false,"suffix":""}],"container-title":"Acta biomaterialia","id":"ITEM-1","issued":{"date-parts":[["2015"]]},"page":"185-96","publisher":"Acta Materialia Inc.","title":"Copper-doped borosilicate bioactive glass scaffolds with improved angiogenic and osteogenic capacity for repairing osseous defects.","type":"article-journal","volume":"14"},"uris":["http://www.mendeley.com/documents/?uuid=c56b8d13-dada-4e71-8c0d-5da477935bd2"]}],"mendeley":{"formattedCitation":"[72]","plainTextFormattedCitation":"[72]","previouslyFormattedCitation":"[72]"},"properties":{"noteIndex":0},"schema":"https://github.com/citation-style-language/schema/raw/master/csl-citation.json"}</w:instrText>
      </w:r>
      <w:r w:rsidRPr="00D86888">
        <w:fldChar w:fldCharType="separate"/>
      </w:r>
      <w:r w:rsidR="003A62BC" w:rsidRPr="003A62BC">
        <w:rPr>
          <w:noProof/>
        </w:rPr>
        <w:t>[72]</w:t>
      </w:r>
      <w:r w:rsidRPr="00D86888">
        <w:fldChar w:fldCharType="end"/>
      </w:r>
      <w:r w:rsidRPr="00D86888">
        <w:t xml:space="preserve">. Another study demonstrated that the addition of 50 μM of copper to MSCs diminished their proliferation rate and increased their ability to undergo osteogenic differentiation </w:t>
      </w:r>
      <w:r w:rsidRPr="00D86888">
        <w:fldChar w:fldCharType="begin" w:fldLock="1"/>
      </w:r>
      <w:r w:rsidR="0045705E">
        <w:instrText>ADDIN CSL_CITATION {"citationItems":[{"id":"ITEM-1","itemData":{"DOI":"10.1002/jcb.10111","ISSN":"07302312","PMID":"11891853","abstract":"Copper plays important functional roles in bone metabolism and turnover. It is known that it is essential for normal growth and development of the skeleton in humans and in animals. Although at present the exact role that copper plays in bone metabolism is unknown, bone abnormalities are a feature of severe copper deficiency. Osteoblasts are derived from mesenchymal stem cells (MSCs) present in bone marrow stroma, which are able to differentiate into bone, adipocytes, and other cell phenotypes. Excess adipogenesis in postmenopausal women may occur at the expense of osteogenesis and, therefore, may be an important factor in the fragility of postmenopausal bone. The purpose of this study was to evaluate whether an increase of the extracellular concentration of copper affects the ability of MSCs to differentiate into osteoblasts or adipocytes. The results showed that copper modified both the differentiation and the proliferative activity of MSCs obtained from postmenopausal women. Copper (50 microM) diminished the proliferation rate of MSCs, increasing their ability to differentiate into the osteogenic and the adipogenic lineages. Copper induced a 2-fold increase in osteogenic differentiation of MSCs, measured as a increase in calcium deposition. Copper (5 and 50 microM) diminished the expression of alkaline phosphatase (50 and 80%, respectively), but induced a shift in the expression of this enzyme to earlier times during culture. Copper also induced a 1.3-fold increase in the adipogenic differentiation of MSCs. It is concluded that copper stimulates MSC differentiation, and that this is preferentially towards the osteogenic lineage.","author":[{"dropping-particle":"","family":"Pablo Rodrguez","given":"J.","non-dropping-particle":"","parse-names":false,"suffix":""},{"dropping-particle":"","family":"Ros","given":"Susana","non-dropping-particle":"","parse-names":false,"suffix":""},{"dropping-particle":"","family":"Gonzlez","given":"Mauricio","non-dropping-particle":"","parse-names":false,"suffix":""}],"container-title":"Journal of Cellular Biochemistry","id":"ITEM-1","issue":"1","issued":{"date-parts":[["2002"]]},"page":"92-100","title":"Modulation of the proliferation and differentiation of human mesenchymal stem cells by copper","type":"article-journal","volume":"85"},"uris":["http://www.mendeley.com/documents/?uuid=c0c9164a-4e96-4c9a-a9e0-d990f6dd55fb"]}],"mendeley":{"formattedCitation":"[15]","plainTextFormattedCitation":"[15]","previouslyFormattedCitation":"[15]"},"properties":{"noteIndex":0},"schema":"https://github.com/citation-style-language/schema/raw/master/csl-citation.json"}</w:instrText>
      </w:r>
      <w:r w:rsidRPr="00D86888">
        <w:fldChar w:fldCharType="separate"/>
      </w:r>
      <w:r w:rsidR="009A413D" w:rsidRPr="00D86888">
        <w:rPr>
          <w:noProof/>
        </w:rPr>
        <w:t>[15]</w:t>
      </w:r>
      <w:r w:rsidRPr="00D86888">
        <w:fldChar w:fldCharType="end"/>
      </w:r>
      <w:r w:rsidRPr="00D86888">
        <w:t xml:space="preserve">. Thus, </w:t>
      </w:r>
      <w:r w:rsidR="00B96649">
        <w:t xml:space="preserve">we can postulate that scaffold’s enhanced bone regenerative capacity can be attributed to </w:t>
      </w:r>
      <w:r w:rsidRPr="00D86888">
        <w:t xml:space="preserve">the combination of </w:t>
      </w:r>
      <w:r w:rsidR="00B96649">
        <w:t xml:space="preserve">both the </w:t>
      </w:r>
      <w:r w:rsidRPr="00D86888">
        <w:t xml:space="preserve">bioactive glass and copper within the </w:t>
      </w:r>
      <w:r w:rsidR="0014723A">
        <w:t>CuBG-CS</w:t>
      </w:r>
      <w:r w:rsidRPr="00D86888">
        <w:t>.</w:t>
      </w:r>
    </w:p>
    <w:p w14:paraId="3C42386C" w14:textId="26BED690" w:rsidR="008646D2" w:rsidRPr="00965312" w:rsidRDefault="00C37E9B" w:rsidP="00C37E9B">
      <w:pPr>
        <w:spacing w:after="240"/>
      </w:pPr>
      <w:r w:rsidRPr="00D86888">
        <w:t xml:space="preserve">Many tissue engineered implants fail due to avascular necrosis </w:t>
      </w:r>
      <w:r w:rsidRPr="00D86888">
        <w:fldChar w:fldCharType="begin" w:fldLock="1"/>
      </w:r>
      <w:r w:rsidR="002F5C61">
        <w:instrText>ADDIN CSL_CITATION {"citationItems":[{"id":"ITEM-1","itemData":{"DOI":"10.1038/s41536-017-0011-6","ISSN":"2057-3995","PMID":"29057097","abstract":"Vascular tissue engineering has significant potential to make a major impact on a wide array of clinical problems. Continued progress in understanding basic vascular biology will be invaluable in making further advancements. Past and current achievements in tissue engineering of microvasculature to perfuse organ specific constructs, small vessels for dialysis grafts, and modified synthetic and pediatric large caliber-vessel grafts will be discussed. An emphasis will be placed on clinical trial results with small and large-caliber vessel grafts. Challenges to achieving engineered constructs that satisfy the physiologic, immunologic, and manufacturing demands of engineered vasculature will be explored.","author":[{"dropping-particle":"","family":"Chang","given":"William G.","non-dropping-particle":"","parse-names":false,"suffix":""},{"dropping-particle":"","family":"Niklason","given":"Laura E.","non-dropping-particle":"","parse-names":false,"suffix":""}],"container-title":"npj Regenerative Medicine","id":"ITEM-1","issue":"1","issued":{"date-parts":[["2017"]]},"page":"1-7","publisher":"Springer US","title":"A short discourse on vascular tissue engineering","type":"article-journal","volume":"2"},"uris":["http://www.mendeley.com/documents/?uuid=eacda6c8-2c92-41f2-acc2-15ed20a5bd84"]},{"id":"ITEM-2","itemData":{"DOI":"10.1016/j.addr.2011.03.004","ISBN":"1872-8294 (Electronic)\\n0169-409X (Linking)","ISSN":"0169409X","PMID":"21396416","abstract":"The main limitation in engineering in vitro tissues is the lack of a sufficient blood vessel system - the vascularization. In vivo almost all tissues are supplied by these endothelial cell coated tubular networks. Current strategies to create vascularized tissues are discussed in this review. The first strategy is based on the endothelial cells and their ability to form new vessels known as neoangiogenesis. Herein prevascularization techniques are compared to approaches in which biomolecules, such as growth factors, cytokines, peptides and proteins as well as cells are applied to generate new vessels. The second strategy is focused on scaffold-based techniques. Naturally-derived scaffolds, which contain vessels, are distinguished from synthetically manufactured matrices. Advantages and pitfalls of the approaches to create vascularized tissues in vitro are outlined and feasible future strategies are discussed. ?? 2010 Elsevier B.V.","author":[{"dropping-particle":"","family":"Novosel","given":"Esther C.","non-dropping-particle":"","parse-names":false,"suffix":""},{"dropping-particle":"","family":"Kleinhans","given":"Claudia","non-dropping-particle":"","parse-names":false,"suffix":""},{"dropping-particle":"","family":"Kluger","given":"Petra J.","non-dropping-particle":"","parse-names":false,"suffix":""}],"container-title":"Advanced Drug Delivery Reviews","id":"ITEM-2","issue":"4","issued":{"date-parts":[["2011"]]},"page":"300-311","publisher":"Elsevier B.V.","title":"Vascularization is the key challenge in tissue engineering","type":"article-journal","volume":"63"},"uris":["http://www.mendeley.com/documents/?uuid=d2963a79-1795-4113-8c17-77c335d2948e"]},{"id":"ITEM-3","itemData":{"DOI":"10.22203/eCM.v014a01","ISBN":"1473-2262 (Electronic) 1473-2262 (Linking)","ISSN":"14732262","PMID":"17654452","abstract":"The ability to create thick tissues is a major tissue engineering challenge, requiring the development of a suitable vascular supply. Current trends are seeing the utilization of cells seeded into hybrid matrix/scaffold systems to create in vitro vascular analogues. Approaches that aim to create vasculature in vitro include the use of biological extracellular matrices such as collagen hydrogels, porous biodegradable polymeric scaffolds with macro- and micro-lumens and micro-channels, co-culture of cells, incorporation of growth factors, culture in dynamic bioreactor environments, and combinations of these. Of particular interest are those approaches that aim to create bioengineered tissues in vitro that can be readily connected to the host's vasculature following implantation in order to maintain cell viability.","author":[{"dropping-particle":"","family":"Ko","given":"Henry C H","non-dropping-particle":"","parse-names":false,"suffix":""},{"dropping-particle":"","family":"Milthorpe","given":"Bruce K.","non-dropping-particle":"","parse-names":false,"suffix":""},{"dropping-particle":"","family":"McFarland","given":"Clive D.","non-dropping-particle":"","parse-names":false,"suffix":""}],"container-title":"European Cells and Materials","id":"ITEM-3","issued":{"date-parts":[["2007"]]},"page":"1-18","title":"Engineering thick tissues - The vascularisation problem","type":"article-journal","volume":"14"},"uris":["http://www.mendeley.com/documents/?uuid=5be08846-1f52-4610-9f67-2d3a14300d03"]}],"mendeley":{"formattedCitation":"[73–75]","plainTextFormattedCitation":"[73–75]","previouslyFormattedCitation":"[73–75]"},"properties":{"noteIndex":0},"schema":"https://github.com/citation-style-language/schema/raw/master/csl-citation.json"}</w:instrText>
      </w:r>
      <w:r w:rsidRPr="00D86888">
        <w:fldChar w:fldCharType="separate"/>
      </w:r>
      <w:r w:rsidR="003A62BC" w:rsidRPr="003A62BC">
        <w:rPr>
          <w:noProof/>
        </w:rPr>
        <w:t>[73–75]</w:t>
      </w:r>
      <w:r w:rsidRPr="00D86888">
        <w:fldChar w:fldCharType="end"/>
      </w:r>
      <w:r w:rsidRPr="00D86888">
        <w:t xml:space="preserve">. Thus, effective vascularisation of porous scaffolds is a crucial event in successful tissue integration. There is an intimate relationship between vascularisation and improved bone formation, known as ‘angiogenic–osteogenic coupling’, so the invasion and development of a blood supply within the scaffold is essential for cell survival and flow of growth factors to stimulate the relationship </w:t>
      </w:r>
      <w:r w:rsidRPr="00D86888">
        <w:fldChar w:fldCharType="begin" w:fldLock="1"/>
      </w:r>
      <w:r w:rsidR="002F5C61">
        <w:instrText>ADDIN CSL_CITATION {"citationItems":[{"id":"ITEM-1","itemData":{"DOI":"10.1089/ten.tea.2007.0370","ISBN":"1937-3341","ISSN":"1937-3341","PMID":"19182977","abstract":"Angiogenesis in a tissue-engineered device may be induced by incorporating growth factors (e.g., vascular endothelial growth factor [VEGF]), genetically modified cells, and=or vascular cells. It represents an important process during the formation and repair of tissue and is essential for nourishment and supply of reparative and immunological cells. Inorganic angiogenic factors, such as copper ions, are therefore of interest in the fields of regenerative medicine and tissue engineering due to their low cost, higher stability, and potentially greater safety compared with recombinant proteins or genetic engineering approaches. The purpose of this study was to compare tissue responses to 3D printed macroporous bioceramic scaffolds implanted in mice that had been loaded with either VEGF or copper sulfate. These factors were spatially localized at the end of a single macropore some 7 mm from the surface of the scaffold. Controls without angiogenic factors exhibited only poor tissue growth within the blocks; in contrast, low doses of copper sulfate led to the formation of microvessels oriented along the macropore axis. Further, wound tissue ingrowth was particularly sensitive to the quantity of copper sulfate and was enhanced at specific concentrations or in combination with VEGF. The potential to accelerate and guide angiogenesis and wound healing by copper ion release without the expense of inductive protein(s) is highly attractive in the area of tissue-engineered bone and offers significant future potential in the field of regenerative biomaterials.","author":[{"dropping-particle":"","family":"Barralet","given":"Jake","non-dropping-particle":"","parse-names":false,"suffix":""},{"dropping-particle":"","family":"Gbureck","given":"Uwe","non-dropping-particle":"","parse-names":false,"suffix":""},{"dropping-particle":"","family":"Habibovic","given":"Pamela","non-dropping-particle":"","parse-names":false,"suffix":""},{"dropping-particle":"","family":"Vorndran","given":"Elke","non-dropping-particle":"","parse-names":false,"suffix":""},{"dropping-particle":"","family":"Gerard","given":"Catherine","non-dropping-particle":"","parse-names":false,"suffix":""},{"dropping-particle":"","family":"Doillon","given":"Charles J.","non-dropping-particle":"","parse-names":false,"suffix":""}],"container-title":"Tissue Engineering Part A","id":"ITEM-1","issue":"7","issued":{"date-parts":[["2009"]]},"page":"1601-1609","title":"Angiogenesis in Calcium Phosphate Scaffolds by Inorganic Copper Ion Release","type":"article-journal","volume":"15"},"uris":["http://www.mendeley.com/documents/?uuid=cdad60f8-5ef2-47d4-ba6f-fb65a6dfe583"]},{"id":"ITEM-2","itemData":{"DOI":"10.1089/ten.TEA.2009.0565","ISBN":"1937-335X (Electronic)\\r1937-3341 (Linking)","ISSN":"1937-335X","PMID":"20184436","abstract":"Osteogenesis is a complex process that involves the synergistic contribution of multiple cell types and numerous growth factors (GFs). To develop effective bone tissue engineering strategies employing GFs, it is essential to delineate the complex and interconnected role of GFs in osteogenesis. The studies investigating the temporal involvement of GFs in osteogenesis are limited to in vitro studies with single cell types or complex in vivo studies. There is a need for platforms that embody the physiological characteristics and the multicellular environment of natural osteogenesis. Marrow tissue houses various cell types that are known to be involved in osteogenesis, and in vitro cultures of marrow inherently undergo osteogenesis process. Self-inductive ossification of marrow explants in vitro can be employed as a representative multicellular and three-dimensional model of osteogenesis. Therefore, the aims of this study were to employ the rat bone marrow explant ossification model to determine (1) the temporal production profiles of key GFs involved in osteogenesis, (2) the relation between GF production and ossification, and (3) the relations between the GF levels throughout ossification. Temporal production profiles of transforming GF beta-1 (TGF-beta1), bone morphogenetic protein-2 (BMP-2), vascular endothelial GF (VEGF), and insulin-like GF-1 (IGF-1) and the bone-related proteins alkaline phosphatase and osteocalcin were obtained by enzyme-linked immunosorbent assays conducted at days 2, 7, 12, 14, 19, and 21. The final amount of ossification (ossified volume [OV]) was measured by microcomputed tomography at day 21. TGF-beta1, BMP-2, VEGF, IGF-1, alkaline phosphatase, and osteocalcin were produced by the ossifying marrow explants differentially over time. The early production of IGF-1 (day 2) correlated positively (r = 0.868) with OV; however, latent production of IGF-1 correlated negatively (day 14: r = -0.813; day 19: r = -0.865) with OV. OV also correlated with VEGF levels at day 12 (r = 0.988) and at day 14 (r = 0.970). Production of GFs also correlated to each other across time points, which indicates the complex and interconnected contribution of various GFs in osteogenesis. Therefore, tissue engineering strategies toward bone regeneration should consider the richness of GFs involved in osteogenesis and their dynamically varying participation over time.","author":[{"dropping-particle":"","family":"Gurkan","given":"Umut Atakan","non-dropping-particle":"","parse-names":false,"suffix":""},{"dropping-particle":"","family":"Gargac","given":"Joshua","non-dropping-particle":"","parse-names":false,"suffix":""},{"dropping-particle":"","family":"Akkus","given":"Ozan","non-dropping-particle":"","parse-names":false,"suffix":""}],"container-title":"Tissue engineering. Part A","id":"ITEM-2","issue":"7","issued":{"date-parts":[["2010"]]},"page":"2295-306","title":"The sequential production profiles of growth factors and their relations to bone volume in ossifying bone marrow explants.","type":"article-journal","volume":"16"},"uris":["http://www.mendeley.com/documents/?uuid=2cc1aed7-9941-41c4-8b63-ccb1d0196bd3"]},{"id":"ITEM-3","itemData":{"DOI":"10.1016/j.biomaterials.2017.09.036","ISSN":"18785905","abstract":"The clinical translation of bioactive scaffolds for the treatment of large segmental bone defects has remained a challenge due to safety and efficacy concerns as well as prohibitive costs. The design of an implantable, biocompatible and resorbable device, which can fill the defect space, allow for cell infiltration, differentiation and neovascularisation, while also recapitulating the natural repair process and inducing cells to lay down new bone tissue, would alleviate the problems with existing treatments. We have developed a gene-activated scaffold platform using a bone-mimicking collagen hydroxyapatite scaffold loaded with chitosan nanoparticles carrying genes encoding osteogenic (BMP-2) and angiogenic (VEGF) proteins. With a single treatment, protein expression by mesenchymal stem cells (MSCs) seeded onto the scaffold is sustained for up to 28 days and is functional in inducing MSC osteogenesis. The in vivo safety and efficacy of this gene-activated scaffold platform was demonstrated resulting in the successful transfection of host cells, abrogating the requirement for multiple procedures to isolate cells or ex vivo cell culture. Furthermore, the level of bone formation at the exceptionally early time-point of 28 days was comparable to that achieved following recombinant BMP-2 protein delivery after 8 weeks in vivo, without the adverse side effects and at a fraction of the cost. This naturally derived cell-free gene-activated scaffold thus represents a new ‘off-the-shelf’ product capable of accelerating bone repair in critical-sized bone defects.","author":[{"dropping-particle":"","family":"Raftery","given":"Rosanne M.","non-dropping-particle":"","parse-names":false,"suffix":""},{"dropping-particle":"","family":"Mencía Castaño","given":"Irene","non-dropping-particle":"","parse-names":false,"suffix":""},{"dropping-particle":"","family":"Chen","given":"Gang","non-dropping-particle":"","parse-names":false,"suffix":""},{"dropping-particle":"","family":"Cavanagh","given":"Brenton","non-dropping-particle":"","parse-names":false,"suffix":""},{"dropping-particle":"","family":"Quinn","given":"Brian","non-dropping-particle":"","parse-names":false,"suffix":""},{"dropping-particle":"","family":"Curtin","given":"Caroline M.","non-dropping-particle":"","parse-names":false,"suffix":""},{"dropping-particle":"","family":"Cryan","given":"Sally Ann","non-dropping-particle":"","parse-names":false,"suffix":""},{"dropping-particle":"","family":"O'Brien","given":"Fergal J.","non-dropping-particle":"","parse-names":false,"suffix":""}],"container-title":"Biomaterials","id":"ITEM-3","issued":{"date-parts":[["2017"]]},"page":"116-127","title":"Translating the role of osteogenic-angiogenic coupling in bone formation: Highly efficient chitosan-pDNA activated scaffolds can accelerate bone regeneration in critical-sized bone defects","type":"article-journal","volume":"149"},"uris":["http://www.mendeley.com/documents/?uuid=8323d6fe-8d58-409a-b215-81b7d352e805"]}],"mendeley":{"formattedCitation":"[76–78]","plainTextFormattedCitation":"[76–78]","previouslyFormattedCitation":"[76–78]"},"properties":{"noteIndex":0},"schema":"https://github.com/citation-style-language/schema/raw/master/csl-citation.json"}</w:instrText>
      </w:r>
      <w:r w:rsidRPr="00D86888">
        <w:fldChar w:fldCharType="separate"/>
      </w:r>
      <w:r w:rsidR="003A62BC" w:rsidRPr="003A62BC">
        <w:rPr>
          <w:noProof/>
        </w:rPr>
        <w:t>[76–78]</w:t>
      </w:r>
      <w:r w:rsidRPr="00D86888">
        <w:fldChar w:fldCharType="end"/>
      </w:r>
      <w:r w:rsidRPr="00D86888">
        <w:t xml:space="preserve">. In the current </w:t>
      </w:r>
      <w:r w:rsidRPr="00D86888">
        <w:rPr>
          <w:noProof/>
        </w:rPr>
        <w:t>study,</w:t>
      </w:r>
      <w:r w:rsidRPr="00D86888">
        <w:t xml:space="preserve"> we see a dose-dependent response of endothelial cells to copper-doped bioactive glass scaffolds, with the lower dose 100% CuBG-CS significantly enhancing total tubule length by 1.9-fold. Copper ions have been shown </w:t>
      </w:r>
      <w:r w:rsidRPr="00D86888">
        <w:lastRenderedPageBreak/>
        <w:t xml:space="preserve">previously to have a pro-angiogenic effect on endothelial cells in vitro by upregulating VEGF production and enhancing proliferation </w:t>
      </w:r>
      <w:r w:rsidRPr="00D86888">
        <w:fldChar w:fldCharType="begin" w:fldLock="1"/>
      </w:r>
      <w:r w:rsidR="002F5C61">
        <w:instrText>ADDIN CSL_CITATION {"citationItems":[{"id":"ITEM-1","itemData":{"DOI":"10.1371/journal.pone.0113319","ISSN":"19326203","PMID":"25470000","abstract":"Bioactive glass (BG) scaffolds are being investigated for bone tissue engineering applications because of their osteoconductive and angiogenic nature. However, to increase the in vivo performance of the scaffold, including enhancing the angiogenetic growth into the scaffolds, some researchers use different modifications of the scaffold including addition of inorganic ionic components to the basic BG composition. In this study, we investigated the in vitro biocompatibility and bioactivity of Cu2+-doped BG derived scaffolds in either BMSC (bone-marrow derived mesenchymal stem cells)-only culture or co-culture of BMSC and human dermal microvascular endothelial cells (HDMEC). In BMSC-only culture, cells were seeded either directly on the scaffolds (3D or direct culture) or were exposed to ionic dissolution products of the BG scaffolds, kept in permeable cell culture inserts (2D or indirect culture). Though we did not observe any direct osteoinduction of BMSCs by alkaline phosphatase (ALP) assay or by PCR, there was increased vascular endothelial growth factor (VEGF) expression, observed by PCR and ELISA assays. Additionally, the scaffolds showed no toxicity to BMSCs and there were healthy live cells found throughout the scaffold. To analyze further the reasons behind the increased VEGF expression and to exploit the benefits of the finding, we used the indirect method with HDMECs in culture plastic and Cu2+-doped BG scaffolds with or without BMSCs in cell culture inserts. There was clear observation of increased endothelial markers by both FACS analysis and acetylated LDL (acLDL) uptake assay. Only in presence of Cu2+-doped BG scaffolds with BMSCs, a high VEGF secretion was demonstrated by ELISA; and typical tubular structures were observed in culture plastics. We conclude that Cu2+-doped BG scaffolds release Cu2+, which in turn act on BMSCs to secrete VEGF. This result is of significance for the application of BG scaffolds in bone tissue engineering approaches.","author":[{"dropping-particle":"","family":"Rath","given":"Subha N.","non-dropping-particle":"","parse-names":false,"suffix":""},{"dropping-particle":"","family":"Brandl","given":"Andreas","non-dropping-particle":"","parse-names":false,"suffix":""},{"dropping-particle":"","family":"Hiller","given":"Daniel","non-dropping-particle":"","parse-names":false,"suffix":""},{"dropping-particle":"","family":"Hoppe","given":"Alexander","non-dropping-particle":"","parse-names":false,"suffix":""},{"dropping-particle":"","family":"Gbureck","given":"Uwe","non-dropping-particle":"","parse-names":false,"suffix":""},{"dropping-particle":"","family":"Horch","given":"Raymund E.","non-dropping-particle":"","parse-names":false,"suffix":""},{"dropping-particle":"","family":"Boccaccini","given":"Aldo R.","non-dropping-particle":"","parse-names":false,"suffix":""},{"dropping-particle":"","family":"Kneser","given":"Ulrich","non-dropping-particle":"","parse-names":false,"suffix":""}],"container-title":"PLoS ONE","id":"ITEM-1","issue":"12","issued":{"date-parts":[["2014"]]},"page":"1-24","title":"Bioactive copper-doped glass scaffolds can stimulate endothelial cells in co-culture in combination with mesenchymal stem cells","type":"article-journal","volume":"9"},"uris":["http://www.mendeley.com/documents/?uuid=6ae8ea60-fdce-473d-8b01-bfb43a29cc7c"]},{"id":"ITEM-2","itemData":{"DOI":"10.1258/ebm.2011.011267","ISBN":"1535-3702","ISSN":"1535-3699","PMID":"22185917","abstract":"Studies in vivo have shown that dietary copper (Cu) supplementation reverses pressure overload-induced cardiac hypertrophy in a mouse model, which is vascular endothelial growth factor (VEGF)-dependent and correlates with enhanced angiogenesis. Because Cu stimulation of endothelial cell growth and differentiation would play a critical role in angiogenesis, the present study was undertaken to examine the effect of Cu on growth of human umbilical vein endothelial cells (HUVECs) in cultures. The HUVECs were treated with CuSO(4) at a final concentration of 5 μmol/L Cu element in cultures or with a Cu chelator, tetraethylenepentamine (TEPA), at a final concentration of 25 μmol/L in cultures. Cell growth and Cu effect on cell cycle were determined. In addition, the effect of Cu on VEGF and endothelial nitric oxide synthase (eNOS) mRNA levels was determined, and anti-VEGF antibody and siRNA targeting eNOS were applied to determine the role of VEGF or eNOS in the Cu effect on cell growth. Cu significantly stimulated and TEPA significantly inhibited cell growth, and the TEPA effect was blocked by excess Cu. Cu increased the number of cells in the S phase and correspondingly decreased the number in the G1 phase. Interestingly, Cu did not increase the level of VEGF mRNA, but significantly increased eNOS mRNA. Furthermore, neutralizing VEGF by anti-VEGF antibody did not suppress Cu stimulation of cell growth. However, siRNA targeting eNOS completely blocked Cu reversal of TEPA inhibition of cell growth. The data demonstrate that Cu stimulation of HUVEC cell growth is VEGF-independent, but eNOS-dependent.","author":[{"dropping-particle":"","family":"Li","given":"Shun","non-dropping-particle":"","parse-names":false,"suffix":""},{"dropping-particle":"","family":"Xie","given":"Huiqi","non-dropping-particle":"","parse-names":false,"suffix":""},{"dropping-particle":"","family":"Li","given":"Shengfu","non-dropping-particle":"","parse-names":false,"suffix":""},{"dropping-particle":"","family":"Kang","given":"Y James","non-dropping-particle":"","parse-names":false,"suffix":""}],"container-title":"Experimental biology and medicine (Maywood, N.J.)","id":"ITEM-2","issued":{"date-parts":[["2012"]]},"page":"77-82","title":"Copper stimulates growth of human umbilical vein endothelial cells in a vascular endothelial growth factor-independent pathway","type":"article-journal","volume":"237"},"uris":["http://www.mendeley.com/documents/?uuid=bebbf7f9-c370-4a59-a3f8-4db93d3243c6"]},{"id":"ITEM-3","itemData":{"DOI":"10.1002/(SICI)1097-4644(19980601)69:3&lt;326::AID-JCB10&gt;3.0.CO;2-A","ISSN":"1097-4644","author":[{"dropping-particle":"","family":"Hu","given":"Guo F","non-dropping-particle":"","parse-names":false,"suffix":""}],"container-title":"Journal of Cellular Biochemistry","id":"ITEM-3","issue":"3","issued":{"date-parts":[["1998"]]},"page":"326-335","publisher":"Wiley Subscription Services, Inc., A Wiley Company","title":"Copper stimulates proliferation of human endothelial cells under culture","type":"article-journal","volume":"69"},"uris":["http://www.mendeley.com/documents/?uuid=4434a164-2d78-4762-b35b-e8b5c02189ad"]},{"id":"ITEM-4","itemData":{"DOI":"10.1039/c4tb01355g","ISBN":"2050-750X 2050-7518","ISSN":"2050750X","abstract":"Biocompatible synthetic scaffolds with enhanced osteogenic and angiogenic capacity are of great interest for the repair of large (critical size) bone defects. In this study, we investigated an approach based on the controlled delivery of copper (Cu) ions from borate bioactive glass scaffolds for stimulating angiogenesis and osteogenesis in a rodent calvarial defect model. Borate glass scaffolds (pore size = 200–400 μm) doped with varying amounts of Cu (0–3.0 wt% CuO) were created using a polymer foam replication technique. When immersed in simulated body fluid (SBF) in vitro, the scaffolds released Cu ions into the medium at a rate that was dependent on the amount of Cu in the glass and simultaneously converted to hydroxyapatite (HA). At the concentrations used, the Cu in the glass was not cytotoxic to human bone marrow derived stem cells (hBMSCs) cultured on the scaffolds and the alkaline phosphatase activity of the hBMSCs increased with increasing Cu in the glass. When implanted in rat calvarial defects for 8 weeks, the scaffolds doped with 3 wt% CuO showed a significantly better capacity to stimulate angiogenesis and regenerate bone when compared to the undoped glass scaffolds. Together, these results indicate that the controlled delivery of Cu ions from borate bioactive glass implants is a promising approach in healing bone defects.","author":[{"dropping-particle":"","family":"Wang","given":"Hui","non-dropping-particle":"","parse-names":false,"suffix":""},{"dropping-particle":"","family":"Zhao","given":"Shichang","non-dropping-particle":"","parse-names":false,"suffix":""},{"dropping-particle":"","family":"Zhou","given":"Jie","non-dropping-particle":"","parse-names":false,"suffix":""},{"dropping-particle":"","family":"Shen","given":"Youqu","non-dropping-particle":"","parse-names":false,"suffix":""},{"dropping-particle":"","family":"Huang","given":"Wenhai","non-dropping-particle":"","parse-names":false,"suffix":""},{"dropping-particle":"","family":"Zhang","given":"Changqing","non-dropping-particle":"","parse-names":false,"suffix":""},{"dropping-particle":"","family":"Rahaman","given":"Mohamed N.","non-dropping-particle":"","parse-names":false,"suffix":""},{"dropping-particle":"","family":"Wang","given":"Deping","non-dropping-particle":"","parse-names":false,"suffix":""}],"container-title":"Journal of Materials Chemistry B","id":"ITEM-4","issue":"48","issued":{"date-parts":[["2014"]]},"page":"8547-8557","publisher":"Royal Society of Chemistry","title":"Evaluation of borate bioactive glass scaffolds as a controlled delivery system for copper ions in stimulating osteogenesis and angiogenesis in bone healing","type":"article-journal","volume":"2"},"uris":["http://www.mendeley.com/documents/?uuid=0b14aa3e-5f62-496d-8aa3-cecc87758cc3"]},{"id":"ITEM-5","itemData":{"DOI":"10.1016/j.msec.2016.05.073","ISBN":"0928-4931","ISSN":"09284931","PMID":"27287141","abstract":"The release of inorganic ions from biomaterials could provide an alternative approach to the use of growth factors for improving tissue healing. In the present study, the release of copper (Cu) ions from bioactive silicate (13-93) glass scaffolds on the response of cells in vitro and on bone regeneration and angiogenesis in vivo was studied. Scaffolds doped with varying concentrations of Cu (0-2.0 wt.% CuO) were created with a grid-like microstructure by robotic deposition. When immersed in simulated body fluid in vitro, the Cu-doped scaffolds released Cu ions into the medium in a dose-dependent manner and converted partially to hydroxyapatite. The proliferation and alkaline phosphatase activity of pre-osteoblastic MC3T3-E1 cells cultured on the scaffolds were not affected by 0.4 and 0.8 wt.% CuO in the glass but they were significantly reduced by 2.0 wt.% CuO. The percent new bone that infiltrated the scaffolds implanted for 6 weeks in rat calvarial defects (46 ± 8%) was not significantly affected by 0.4 or 0.8 wt.% CuO in the glass whereas it was significantly inhibited (0.8 ± 0.7%) in the scaffolds doped with 2.0 wt.% CuO. The area of new blood vessels in the fibrous tissue that infiltrated the scaffolds increased with CuO content of the glass and was significantly higher for the scaffolds doped with 2.0 wt.% CuO. Loading the scaffolds with bone morphogenetic protein-2 (1 μg/defect) significantly enhanced bone infiltration and reduced fibrous tissue in the scaffolds. These results showed that doping the 13-93 glass scaffolds with up to 0.8 wt.% CuO did not affect their biocompatibility whereas 2.0 wt.% CuO was toxic to cells and detrimental to bone regeneration.","author":[{"dropping-particle":"","family":"Lin","given":"Yinan","non-dropping-particle":"","parse-names":false,"suffix":""},{"dropping-particle":"","family":"Xiao","given":"Wei","non-dropping-particle":"","parse-names":false,"suffix":""},{"dropping-particle":"","family":"Bal","given":"B. Sonny","non-dropping-particle":"","parse-names":false,"suffix":""},{"dropping-particle":"","family":"Rahaman","given":"Mohamed N.","non-dropping-particle":"","parse-names":false,"suffix":""}],"container-title":"Materials Science and Engineering C","id":"ITEM-5","issued":{"date-parts":[["2016"]]},"page":"440-452","publisher":"Elsevier B.V.","title":"Effect of copper-doped silicate 13-93 bioactive glass scaffolds on the response of MC3T3-E1 cells in vitro and on bone regeneration and angiogenesis in rat calvarial defects in vivo","type":"article-journal","volume":"67"},"uris":["http://www.mendeley.com/documents/?uuid=00e0b3e2-f1b1-482f-9df3-dc4f9642453d"]}],"mendeley":{"formattedCitation":"[16,70,71,79,80]","plainTextFormattedCitation":"[16,70,71,79,80]","previouslyFormattedCitation":"[16,70,71,79,80]"},"properties":{"noteIndex":0},"schema":"https://github.com/citation-style-language/schema/raw/master/csl-citation.json"}</w:instrText>
      </w:r>
      <w:r w:rsidRPr="00D86888">
        <w:fldChar w:fldCharType="separate"/>
      </w:r>
      <w:r w:rsidR="003A62BC" w:rsidRPr="003A62BC">
        <w:rPr>
          <w:noProof/>
        </w:rPr>
        <w:t>[16,70,71,79,80]</w:t>
      </w:r>
      <w:r w:rsidRPr="00D86888">
        <w:fldChar w:fldCharType="end"/>
      </w:r>
      <w:r w:rsidRPr="00D86888">
        <w:t xml:space="preserve">. In addition, it has been found that the combination of copper sulphate (50 μg/ml – optimal dose) with the growth factors VEGF or FGF-2 on endothelial cells significantly enhanced the complexity of the angiogenic networks with a synergistic effect </w:t>
      </w:r>
      <w:r w:rsidRPr="00D86888">
        <w:fldChar w:fldCharType="begin" w:fldLock="1"/>
      </w:r>
      <w:r w:rsidR="002F5C61">
        <w:instrText>ADDIN CSL_CITATION {"citationItems":[{"id":"ITEM-1","itemData":{"DOI":"10.1016/j.biomaterials.2009.10.009","ISBN":"1878-5905 (Electronic)\\r0142-9612 (Linking)","ISSN":"01429612","PMID":"19854506","abstract":"Copper is known to trigger endothelial cells towards angiogenesis. Different approaches have been investigated to develop vascularisation in biomaterials. The angiogenic and healing potential of copper ions in combination with two major angiogenic factors was examined. A 3D culture system in which, under stimulation by FGF-2 and to a lesser degree with VEGF, endothelial cells assembled into structures resembling to an angiogenic process was used. The combination of CuSO4 with increasing doses of VEGF or FGF-2 enhanced the complexity of angiogenic networks in a significant manner. In vivo studies were also conducted by incorporating FGF-2 with CuSO4 in a cylindrical collagen-based scaffold. CuSO4 enhanced significantly the invasion of microvessel compared to control implants and to 20 ng FGF-2 ± CuSO4. Vascular infiltration was also significantly improved by combination of CuSO4 with FGF-2, compared to FGF-2 alone (0.2 and 1 μg). Nevertheless, in comparison with CuSO4 alone, there was a significant increase only with 1 μg of FGF-2 combined with CuSO4. Significantly, collagen fiber deposition was enhanced following the combinatory loading in comparison to that with FGF-2 alone but not with CuSO4 only. Thus, copper associated with growth factors may have synergistic effects which are highly attractive in the fields of tissue engineering (e.g., bone) and biomaterials. © 2009 Elsevier Ltd. All rights reserved.","author":[{"dropping-particle":"","family":"Gérard","given":"Catherine","non-dropping-particle":"","parse-names":false,"suffix":""},{"dropping-particle":"","family":"Bordeleau","given":"Louis Jean","non-dropping-particle":"","parse-names":false,"suffix":""},{"dropping-particle":"","family":"Barralet","given":"Jake","non-dropping-particle":"","parse-names":false,"suffix":""},{"dropping-particle":"","family":"Doillon","given":"Charles J.","non-dropping-particle":"","parse-names":false,"suffix":""}],"container-title":"Biomaterials","id":"ITEM-1","issue":"5","issued":{"date-parts":[["2010"]]},"page":"824-831","title":"The stimulation of angiogenesis and collagen deposition by copper","type":"article-journal","volume":"31"},"uris":["http://www.mendeley.com/documents/?uuid=03f286a5-dc4a-4b2f-a919-ecdb33892163"]}],"mendeley":{"formattedCitation":"[81]","plainTextFormattedCitation":"[81]","previouslyFormattedCitation":"[81]"},"properties":{"noteIndex":0},"schema":"https://github.com/citation-style-language/schema/raw/master/csl-citation.json"}</w:instrText>
      </w:r>
      <w:r w:rsidRPr="00D86888">
        <w:fldChar w:fldCharType="separate"/>
      </w:r>
      <w:r w:rsidR="003A62BC" w:rsidRPr="003A62BC">
        <w:rPr>
          <w:noProof/>
        </w:rPr>
        <w:t>[81]</w:t>
      </w:r>
      <w:r w:rsidRPr="00D86888">
        <w:fldChar w:fldCharType="end"/>
      </w:r>
      <w:r w:rsidRPr="00D86888">
        <w:t xml:space="preserve">. However, in our </w:t>
      </w:r>
      <w:r w:rsidRPr="00D86888">
        <w:rPr>
          <w:noProof/>
        </w:rPr>
        <w:t>study,</w:t>
      </w:r>
      <w:r w:rsidRPr="00D86888">
        <w:t xml:space="preserve"> we also observed that the higher dose 300% CuBG-CS show significantly reduced tubule formation, which is presumed to be due to toxic effects on the cells. Another study reported a similar effect – 2.5% (mol) copper-doped Bioglass® decreased the ability of endothelial cells to form vascular networks with increasing CuBG addition and that, in fact, it is not due to increased copper release, but to increased silicon release and calcium depletion in the medium </w:t>
      </w:r>
      <w:r w:rsidRPr="00D86888">
        <w:fldChar w:fldCharType="begin" w:fldLock="1"/>
      </w:r>
      <w:r w:rsidR="002F5C61">
        <w:instrText>ADDIN CSL_CITATION {"citationItems":[{"id":"ITEM-1","itemData":{"DOI":"10.1016/j.actbio.2015.03.009","author":[{"dropping-particle":"","family":"Stähli","given":"Christoph","non-dropping-particle":"","parse-names":false,"suffix":""},{"dropping-particle":"","family":"James-bhasin","given":"Mark","non-dropping-particle":"","parse-names":false,"suffix":""},{"dropping-particle":"","family":"Hoppe","given":"Alexander","non-dropping-particle":"","parse-names":false,"suffix":""},{"dropping-particle":"","family":"Boccaccini","given":"Aldo R","non-dropping-particle":"","parse-names":false,"suffix":""},{"dropping-particle":"","family":"Nazhat","given":"Showan N","non-dropping-particle":"","parse-names":false,"suffix":""}],"id":"ITEM-1","issued":{"date-parts":[["2015"]]},"page":"15-22","title":"Effect of ion release from Cu-doped 45S5 Bioglass on 3D endothelial cell morphogenesis","type":"article-journal","volume":"19"},"uris":["http://www.mendeley.com/documents/?uuid=4bc719b8-13a8-4a61-88e4-27099ab222d7"]}],"mendeley":{"formattedCitation":"[82]","plainTextFormattedCitation":"[82]","previouslyFormattedCitation":"[82]"},"properties":{"noteIndex":0},"schema":"https://github.com/citation-style-language/schema/raw/master/csl-citation.json"}</w:instrText>
      </w:r>
      <w:r w:rsidRPr="00D86888">
        <w:fldChar w:fldCharType="separate"/>
      </w:r>
      <w:r w:rsidR="003A62BC" w:rsidRPr="003A62BC">
        <w:rPr>
          <w:noProof/>
        </w:rPr>
        <w:t>[82]</w:t>
      </w:r>
      <w:r w:rsidRPr="00D86888">
        <w:fldChar w:fldCharType="end"/>
      </w:r>
      <w:r w:rsidRPr="00D86888">
        <w:t>. The authors also suggest that the proangiogenic effect of the copper released from the bioactive glass may not be reflected in endothelial cell cultures, but may upregulate angiogenic factors of fibroblasts or osteoblasts. Hence, we analysed VEGF protein production by rMSCs in 2D culture when cultured with conditioned medium from collagen bioactive glass scaffolds. The VEGF results demonstrated that the 100% CuBG scaffolds significantly increased VEGF protein production, which should contribute to enhanced angiogenesis; in addition, there was a direct effect on vessel formation in the Matrigel tubule assay</w:t>
      </w:r>
      <w:r w:rsidRPr="0099302C">
        <w:t>.</w:t>
      </w:r>
      <w:r w:rsidR="008646D2" w:rsidRPr="0099302C">
        <w:t xml:space="preserve"> In any case, the obvious next step was to carry out an assessment of </w:t>
      </w:r>
      <w:r w:rsidR="008646D2" w:rsidRPr="00F07525">
        <w:t>these novel materials in an in vivo study.</w:t>
      </w:r>
      <w:r w:rsidR="008646D2" w:rsidRPr="00965312">
        <w:t xml:space="preserve"> </w:t>
      </w:r>
    </w:p>
    <w:p w14:paraId="5749AE8D" w14:textId="3010786D" w:rsidR="00AF185F" w:rsidRPr="0050577C" w:rsidRDefault="00B83A09" w:rsidP="00080F32">
      <w:pPr>
        <w:spacing w:after="240"/>
      </w:pPr>
      <w:r w:rsidRPr="00965312">
        <w:t>Hav</w:t>
      </w:r>
      <w:r w:rsidR="00416C60" w:rsidRPr="00965312">
        <w:t>ing</w:t>
      </w:r>
      <w:r w:rsidRPr="00965312">
        <w:t xml:space="preserve"> demonstrated the potential of the </w:t>
      </w:r>
      <w:r w:rsidR="00CB64D2" w:rsidRPr="00965312">
        <w:t>CuBG-CS</w:t>
      </w:r>
      <w:r w:rsidRPr="00965312">
        <w:t xml:space="preserve"> in vitro, we next utilised an </w:t>
      </w:r>
      <w:r w:rsidR="008646D2" w:rsidRPr="00965312">
        <w:t xml:space="preserve">ex ovo </w:t>
      </w:r>
      <w:r w:rsidRPr="00F07525">
        <w:t>(</w:t>
      </w:r>
      <w:r w:rsidR="008646D2" w:rsidRPr="00F07525">
        <w:t>shell-less</w:t>
      </w:r>
      <w:r w:rsidRPr="00F07525">
        <w:t>)</w:t>
      </w:r>
      <w:r w:rsidR="008646D2" w:rsidRPr="00F07525">
        <w:t xml:space="preserve"> chicken embryo model to</w:t>
      </w:r>
      <w:r w:rsidR="008646D2" w:rsidRPr="00D86888">
        <w:t xml:space="preserve"> enable examin</w:t>
      </w:r>
      <w:r>
        <w:t xml:space="preserve">ation of </w:t>
      </w:r>
      <w:r w:rsidR="008646D2" w:rsidRPr="00D86888">
        <w:t xml:space="preserve">the in vivo therapeutic effect of </w:t>
      </w:r>
      <w:r>
        <w:t>the</w:t>
      </w:r>
      <w:r w:rsidR="008646D2" w:rsidRPr="00D86888">
        <w:t xml:space="preserve"> scaffolds on angio- and osteogenesis </w:t>
      </w:r>
      <w:r w:rsidR="003B05B9" w:rsidRPr="000214DB">
        <w:fldChar w:fldCharType="begin" w:fldLock="1"/>
      </w:r>
      <w:r w:rsidR="0045705E" w:rsidRPr="000214DB">
        <w:instrText>ADDIN CSL_CITATION {"citationItems":[{"id":"ITEM-1","itemData":{"DOI":"10.3109/10520297609116684","ISSN":"00389153","author":[{"dropping-particle":"","family":"Wassersug","given":"R J","non-dropping-particle":"","parse-names":false,"suffix":""}],"container-title":"Stain Technology","id":"ITEM-1","issue":"2","issued":{"date-parts":[["1976"]]},"page":"131-134","title":"A procedure for differential staining of cartilage and bone in whole, formalin fixed vertebrates","type":"article-journal","volume":"51"},"uris":["http://www.mendeley.com/documents/?uuid=84800b0f-8b37-43b6-84f7-d0a1d455b0f9"]},{"id":"ITEM-2","itemData":{"DOI":"10.1002/aja.1001950404","ISSN":"10588388","author":[{"dropping-particle":"","family":"Hamburger","given":"Viktor","non-dropping-particle":"","parse-names":false,"suffix":""},{"dropping-particle":"","family":"Hamilton","given":"Howard L.","non-dropping-particle":"","parse-names":false,"suffix":""}],"container-title":"Developmental Dynamics","id":"ITEM-2","issue":"4","issued":{"date-parts":[["1992"]]},"page":"231-272","publisher":"Wiley-Blackwell","title":"A series of normal stages in the development of the chick embryo","type":"article-journal","volume":"195"},"uris":["http://www.mendeley.com/documents/?uuid=4943a6e1-a3d3-3e11-8ca1-6d91d9c1291f"]},{"id":"ITEM-3","itemData":{"DOI":"10.1002/dvdy.20454","ISSN":"1058-8388","author":[{"dropping-particle":"","family":"Luo","given":"Jiankai","non-dropping-particle":"","parse-names":false,"suffix":""},{"dropping-particle":"","family":"Redies","given":"Christoph","non-dropping-particle":"","parse-names":false,"suffix":""}],"container-title":"Developmental Dynamics","id":"ITEM-3","issue":"4","issued":{"date-parts":[["2005"]]},"page":"1470-1477","publisher":"Wiley-Blackwell","title":"Ex ovo electroporation for gene transfer into older chicken embryos","type":"article-journal","volume":"233"},"uris":["http://www.mendeley.com/documents/?uuid=9c494b61-9930-3e31-9ab9-9d76213f0545"]},{"id":"ITEM-4","itemData":{"DOI":"10.1016/j.actbio.2008.07.016","ISSN":"17427061","PMID":"18706880","abstract":"The aim of the present study was to evaluate the biocompatibility and bone mineralization potential of 45S5 Bioglass®-derived glass-ceramic scaffolds using a chick embryo shell-less (ex ovo) culture system. Chick embryos were divided into two groups: control (C) and experimental (E). Scaffolds were placed on the chorioallantoic membrane (CAM) in embryos of group E at 10 days of total incubation. The 45S5 Bioglass®-derived glass-ceramic scaffolds proved to be biocompatible in terms of the absence of inflammatory response at the implant site (CAM). Moreover, no alterations in the other end-points assessed, i.e. survival, stage of embryonic development and body weight, were detected. However, body length was greater in group E embryos than in group C embryos (p ≤ 0.05). A marked reduction (93%) in Ca content in the scaffolds was evidenced by energy-dispersive X-ray analysis at 5 days post-implantation. Calcium release from the scaffold implanted on the CAM might have been responsible for the restoration of the bone-like phenotype in chick embryonic skeleton of group E as detected by Alcian blue-Alizarin red double staining, as well as by histological and microchemical analyses. Conversely, the control embryos exhibited a chondrogenic phenotype. © 2008 Acta Materialia Inc.","author":[{"dropping-particle":"","family":"Vargas","given":"Gabriela E.","non-dropping-particle":"","parse-names":false,"suffix":""},{"dropping-particle":"","family":"Mesones","given":"Rosa Vera","non-dropping-particle":"","parse-names":false,"suffix":""},{"dropping-particle":"","family":"Bretcanu","given":"Oana","non-dropping-particle":"","parse-names":false,"suffix":""},{"dropping-particle":"","family":"López","given":"José M Porto","non-dropping-particle":"","parse-names":false,"suffix":""},{"dropping-particle":"","family":"Boccaccini","given":"Aldo R.","non-dropping-particle":"","parse-names":false,"suffix":""},{"dropping-particle":"","family":"Gorustovich","given":"Alejandro","non-dropping-particle":"","parse-names":false,"suffix":""}],"container-title":"Acta Biomaterialia","id":"ITEM-4","issue":"1","issued":{"date-parts":[["2009"]]},"page":"374-380","title":"Biocompatibility and bone mineralization potential of 45S5 Bioglass®-derived glass-ceramic scaffolds in chick embryos","type":"article-journal","volume":"5"},"uris":["http://www.mendeley.com/documents/?uuid=10cc6a3f-0cf8-465f-aeda-75ca0d148420"]}],"mendeley":{"formattedCitation":"[43–46]","plainTextFormattedCitation":"[43–46]","previouslyFormattedCitation":"[43–46]"},"properties":{"noteIndex":0},"schema":"https://github.com/citation-style-language/schema/raw/master/csl-citation.json"}</w:instrText>
      </w:r>
      <w:r w:rsidR="003B05B9" w:rsidRPr="000214DB">
        <w:fldChar w:fldCharType="separate"/>
      </w:r>
      <w:r w:rsidR="00E02623" w:rsidRPr="000214DB">
        <w:rPr>
          <w:noProof/>
        </w:rPr>
        <w:t>[43–46]</w:t>
      </w:r>
      <w:r w:rsidR="003B05B9" w:rsidRPr="000214DB">
        <w:fldChar w:fldCharType="end"/>
      </w:r>
      <w:r w:rsidR="003B05B9" w:rsidRPr="000214DB">
        <w:t xml:space="preserve">. </w:t>
      </w:r>
      <w:r w:rsidR="00AF185F" w:rsidRPr="000214DB">
        <w:t>The chick embryo ex ovo model is both economic and practical in comparison to other animal models as the fertilised eggs are plentiful and can be purchased year-round, they are low cost, they are housed in a regular lab-based incubator negating expensive specialist equipment and housing costs, the shell-less model enables the continuous evaluation of the embryos. The experimental design involves culturing the chicken embryos for up to a maximum of 12 days which, although relatively short incubation period, can provide a plethora of results within a short time frame. Using this model, it was found that all of the bioactive-glass loaded scaffolds were biocompatible with no adverse reactions or reduction in survival of embryos observed. This is encouraging as it shows that the incorporation of the anti-microbial ma</w:t>
      </w:r>
      <w:r w:rsidR="00AF185F">
        <w:t xml:space="preserve">terials, while effective at eliminating bacteria, has no negative effect on adjacent healthy tissue.  In fact the opposite effect was found and demonstrated enhanced osteogenesis and angiogenesis by the CuBG scaffolds in comparison to the collagen only controls – consistent with the in vitro study results. All bioactive glass-loaded scaffolds, with or without copper doping (100% </w:t>
      </w:r>
      <w:r w:rsidR="00AF185F">
        <w:lastRenderedPageBreak/>
        <w:t xml:space="preserve">BG, 100% CuBG, 300% BG, and 300% CuBG), accelerated endochondral ossification in comparison to the collagen control and to similar levels to BMP-2-loaded positive control. These results correlate well with studies by Boccaccini et al. where 45S5 Bioglass® scaffolds (45S5 Bioglass®) also demonstrated enhanced osteogenesis in the chick embryo ex ovo model </w:t>
      </w:r>
      <w:r w:rsidR="00AF185F">
        <w:fldChar w:fldCharType="begin" w:fldLock="1"/>
      </w:r>
      <w:r w:rsidR="002F5C61">
        <w:instrText>ADDIN CSL_CITATION {"citationItems":[{"id":"ITEM-1","itemData":{"DOI":"10.1016/j.actbio.2008.07.016","ISSN":"17427061","PMID":"18706880","abstract":"The aim of the present study was to evaluate the biocompatibility and bone mineralization potential of 45S5 Bioglass®-derived glass-ceramic scaffolds using a chick embryo shell-less (ex ovo) culture system. Chick embryos were divided into two groups: control (C) and experimental (E). Scaffolds were placed on the chorioallantoic membrane (CAM) in embryos of group E at 10 days of total incubation. The 45S5 Bioglass®-derived glass-ceramic scaffolds proved to be biocompatible in terms of the absence of inflammatory response at the implant site (CAM). Moreover, no alterations in the other end-points assessed, i.e. survival, stage of embryonic development and body weight, were detected. However, body length was greater in group E embryos than in group C embryos (p ≤ 0.05). A marked reduction (93%) in Ca content in the scaffolds was evidenced by energy-dispersive X-ray analysis at 5 days post-implantation. Calcium release from the scaffold implanted on the CAM might have been responsible for the restoration of the bone-like phenotype in chick embryonic skeleton of group E as detected by Alcian blue-Alizarin red double staining, as well as by histological and microchemical analyses. Conversely, the control embryos exhibited a chondrogenic phenotype. © 2008 Acta Materialia Inc.","author":[{"dropping-particle":"","family":"Vargas","given":"Gabriela E.","non-dropping-particle":"","parse-names":false,"suffix":""},{"dropping-particle":"","family":"Mesones","given":"Rosa Vera","non-dropping-particle":"","parse-names":false,"suffix":""},{"dropping-particle":"","family":"Bretcanu","given":"Oana","non-dropping-particle":"","parse-names":false,"suffix":""},{"dropping-particle":"","family":"López","given":"José M Porto","non-dropping-particle":"","parse-names":false,"suffix":""},{"dropping-particle":"","family":"Boccaccini","given":"Aldo R.","non-dropping-particle":"","parse-names":false,"suffix":""},{"dropping-particle":"","family":"Gorustovich","given":"Alejandro","non-dropping-particle":"","parse-names":false,"suffix":""}],"container-title":"Acta Biomaterialia","id":"ITEM-1","issue":"1","issued":{"date-parts":[["2009"]]},"page":"374-380","title":"Biocompatibility and bone mineralization potential of 45S5 Bioglass®-derived glass-ceramic scaffolds in chick embryos","type":"article-journal","volume":"5"},"uris":["http://www.mendeley.com/documents/?uuid=10cc6a3f-0cf8-465f-aeda-75ca0d148420"]},{"id":"ITEM-2","itemData":{"DOI":"10.1179/174367508X306541","ISSN":"1743-6753","abstract":"The aim of the present study was to investigate a novel ex ovo bioassay for the first time using the chick embryo chorioallantoic membrane (CAM) for testing tissue engineering bioceramic scaffolds. Bioglass based scaffolds with porosity in the range of 90-95% were fabricated using the foam replica technique and sintering at 1100?C for 1 h. Scaffolds (5 ? 5 ? 2 mm3) were placed on the CAM at 10 days of total incubation. The embryos were killed 5 days after implantation. The scaffolds and CAM were explanted, fixed in formalin solution and processed for embedding in methyl methacrylate. Histological analysis using ground sections showed that the scaffolds were surrounded by CAM. There was no occurrence of macrophages or related inflammatory cells. The results described in this paper indicate that the developed bioassay is an appropriate approach as an alternative to conventional animal models to evaluate the biocompatibility of scaffold biomaterials for tissue engineering and regenerative medicine. ? 2008 Institute of Materials, Minerals and Mining.","author":[{"dropping-particle":"","family":"Gorustovich","given":"A. A.","non-dropping-particle":"","parse-names":false,"suffix":""},{"dropping-particle":"","family":"Vargas","given":"G. E.","non-dropping-particle":"","parse-names":false,"suffix":""},{"dropping-particle":"","family":"Bretcanu","given":"O.","non-dropping-particle":"","parse-names":false,"suffix":""},{"dropping-particle":"","family":"Vera Mesones","given":"R.","non-dropping-particle":"","parse-names":false,"suffix":""},{"dropping-particle":"","family":"Porto López","given":"J. M.","non-dropping-particle":"","parse-names":false,"suffix":""},{"dropping-particle":"","family":"Boccaccini","given":"A. R.","non-dropping-particle":"","parse-names":false,"suffix":""}],"container-title":"Advances in Applied Ceramics","id":"ITEM-2","issue":"5","issued":{"date-parts":[["2008"]]},"page":"274-276","title":"Novel bioassay to evaluate biocompatibility of bioactive glass scaffolds for tissue engineering","type":"article-journal","volume":"107"},"uris":["http://www.mendeley.com/documents/?uuid=1c8dce7e-95fa-4d90-a03e-1c2cb87f17c1"]}],"mendeley":{"formattedCitation":"[46,83]","plainTextFormattedCitation":"[46,83]","previouslyFormattedCitation":"[46,83]"},"properties":{"noteIndex":0},"schema":"https://github.com/citation-style-language/schema/raw/master/csl-citation.json"}</w:instrText>
      </w:r>
      <w:r w:rsidR="00AF185F">
        <w:fldChar w:fldCharType="separate"/>
      </w:r>
      <w:r w:rsidR="003A62BC" w:rsidRPr="003A62BC">
        <w:rPr>
          <w:noProof/>
        </w:rPr>
        <w:t>[46,83]</w:t>
      </w:r>
      <w:r w:rsidR="00AF185F">
        <w:fldChar w:fldCharType="end"/>
      </w:r>
      <w:r w:rsidR="00AF185F">
        <w:t xml:space="preserve">. In terms of angiogenesis, again correlating with our in vitro findings, the 100% CuBG scaffolds significantly enhanced angiogenesis in comparison to the collagen control, and to a level higher than that of the VEGF-loaded positive control. To the best of our knowledge, this is the first report of copper-doped bioactive glass scaffolds analysed in the chicken embryo. We did not elicit an angiogenic response from either of the BG-CS (i.e. non copper-doped bioactive glass scaffolds), which is similar to results obtained by Vargas et al., Gorustovich et al., and Handel et al. who were also unable to detect an angiogenic response of un-doped 45S5 Bioglass® on the chicken CAM membrane </w:t>
      </w:r>
      <w:r w:rsidR="00AF185F">
        <w:fldChar w:fldCharType="begin" w:fldLock="1"/>
      </w:r>
      <w:r w:rsidR="002F5C61">
        <w:instrText>ADDIN CSL_CITATION {"citationItems":[{"id":"ITEM-1","itemData":{"DOI":"10.1016/j.actbio.2008.07.016","ISSN":"17427061","PMID":"18706880","abstract":"The aim of the present study was to evaluate the biocompatibility and bone mineralization potential of 45S5 Bioglass®-derived glass-ceramic scaffolds using a chick embryo shell-less (ex ovo) culture system. Chick embryos were divided into two groups: control (C) and experimental (E). Scaffolds were placed on the chorioallantoic membrane (CAM) in embryos of group E at 10 days of total incubation. The 45S5 Bioglass®-derived glass-ceramic scaffolds proved to be biocompatible in terms of the absence of inflammatory response at the implant site (CAM). Moreover, no alterations in the other end-points assessed, i.e. survival, stage of embryonic development and body weight, were detected. However, body length was greater in group E embryos than in group C embryos (p ≤ 0.05). A marked reduction (93%) in Ca content in the scaffolds was evidenced by energy-dispersive X-ray analysis at 5 days post-implantation. Calcium release from the scaffold implanted on the CAM might have been responsible for the restoration of the bone-like phenotype in chick embryonic skeleton of group E as detected by Alcian blue-Alizarin red double staining, as well as by histological and microchemical analyses. Conversely, the control embryos exhibited a chondrogenic phenotype. © 2008 Acta Materialia Inc.","author":[{"dropping-particle":"","family":"Vargas","given":"Gabriela E.","non-dropping-particle":"","parse-names":false,"suffix":""},{"dropping-particle":"","family":"Mesones","given":"Rosa Vera","non-dropping-particle":"","parse-names":false,"suffix":""},{"dropping-particle":"","family":"Bretcanu","given":"Oana","non-dropping-particle":"","parse-names":false,"suffix":""},{"dropping-particle":"","family":"López","given":"José M Porto","non-dropping-particle":"","parse-names":false,"suffix":""},{"dropping-particle":"","family":"Boccaccini","given":"Aldo R.","non-dropping-particle":"","parse-names":false,"suffix":""},{"dropping-particle":"","family":"Gorustovich","given":"Alejandro","non-dropping-particle":"","parse-names":false,"suffix":""}],"container-title":"Acta Biomaterialia","id":"ITEM-1","issue":"1","issued":{"date-parts":[["2009"]]},"page":"374-380","title":"Biocompatibility and bone mineralization potential of 45S5 Bioglass®-derived glass-ceramic scaffolds in chick embryos","type":"article-journal","volume":"5"},"uris":["http://www.mendeley.com/documents/?uuid=10cc6a3f-0cf8-465f-aeda-75ca0d148420"]},{"id":"ITEM-2","itemData":{"DOI":"10.1179/174367508X306541","ISSN":"1743-6753","abstract":"The aim of the present study was to investigate a novel ex ovo bioassay for the first time using the chick embryo chorioallantoic membrane (CAM) for testing tissue engineering bioceramic scaffolds. Bioglass based scaffolds with porosity in the range of 90-95% were fabricated using the foam replica technique and sintering at 1100?C for 1 h. Scaffolds (5 ? 5 ? 2 mm3) were placed on the CAM at 10 days of total incubation. The embryos were killed 5 days after implantation. The scaffolds and CAM were explanted, fixed in formalin solution and processed for embedding in methyl methacrylate. Histological analysis using ground sections showed that the scaffolds were surrounded by CAM. There was no occurrence of macrophages or related inflammatory cells. The results described in this paper indicate that the developed bioassay is an appropriate approach as an alternative to conventional animal models to evaluate the biocompatibility of scaffold biomaterials for tissue engineering and regenerative medicine. ? 2008 Institute of Materials, Minerals and Mining.","author":[{"dropping-particle":"","family":"Gorustovich","given":"A. A.","non-dropping-particle":"","parse-names":false,"suffix":""},{"dropping-particle":"","family":"Vargas","given":"G. E.","non-dropping-particle":"","parse-names":false,"suffix":""},{"dropping-particle":"","family":"Bretcanu","given":"O.","non-dropping-particle":"","parse-names":false,"suffix":""},{"dropping-particle":"","family":"Vera Mesones","given":"R.","non-dropping-particle":"","parse-names":false,"suffix":""},{"dropping-particle":"","family":"Porto López","given":"J. M.","non-dropping-particle":"","parse-names":false,"suffix":""},{"dropping-particle":"","family":"Boccaccini","given":"A. R.","non-dropping-particle":"","parse-names":false,"suffix":""}],"container-title":"Advances in Applied Ceramics","id":"ITEM-2","issue":"5","issued":{"date-parts":[["2008"]]},"page":"274-276","title":"Novel bioassay to evaluate biocompatibility of bioactive glass scaffolds for tissue engineering","type":"article-journal","volume":"107"},"uris":["http://www.mendeley.com/documents/?uuid=1c8dce7e-95fa-4d90-a03e-1c2cb87f17c1"]},{"id":"ITEM-3","itemData":{"DOI":"10.1089/ten.tea.2012.0707","ISSN":"1937-3341","abstract":"Poor vascularization is the key limitation for long-term acceptance of large three-dimensional (3D) tissue en-gineering constructs in regenerative medicine. 45S5 Bioglass Ò was investigated given its potential for applica-tions in bone engineering. Since native Bioglass Ò shows insufficient angiogenic properties, we used a collagen coating, to seed human adipose tissue-derived stem cells (hASC) confluently onto 3D 45S5 Bioglass Ò -based scaffolds. To investigate vascularization by semiquantitative analyses, these biofunctionalized scaffolds were then subjected to in vitro human umbilical vein endothelial cells formation assays, and were also investigated in the chorioallantoic membrane (CAM) angiogenesis model, an in vivo angiogenesis assay, which uses the CAM of the hen's egg. In their native, nonbiofunctionalized state, neither Bioglass Ò -based nor biologically inert fibrous polypropylene control scaffolds showed angiogenic properties. However, significant vascularization was in-duced by hASC-seeded scaffolds (Bioglass Ò and polypropylene) in the CAM angiogenesis assay. Biofunctio-nalized scaffolds also showed enhanced tube lengths, compared to unmodified scaffolds or constructs seeded with fibroblasts. In case of biologically inert hernia meshes, the quantification of vascular endothelial growth factor secretion as the key angiogenic stimulus strongly correlated to the tube lengths and vessel numbers in all models. This correlation proved the CAM angiogenesis assay to be a suitable semiquantitative tool to char-acterize angiogenic effects of larger 3D implants. In addition, our results suggest that combinations of suitable scaffold materials, such as 45S5 Bioglass Ò , with hASC could be a promising approach for future tissue engi-neering applications.","author":[{"dropping-particle":"","family":"Handel","given":"Marina","non-dropping-particle":"","parse-names":false,"suffix":""},{"dropping-particle":"","family":"Hammer","given":"Timo R.","non-dropping-particle":"","parse-names":false,"suffix":""},{"dropping-particle":"","family":"Nooeaid","given":"Patcharakamon","non-dropping-particle":"","parse-names":false,"suffix":""},{"dropping-particle":"","family":"Boccaccini","given":"Aldo R.","non-dropping-particle":"","parse-names":false,"suffix":""},{"dropping-particle":"","family":"Hoefer","given":"Dirk","non-dropping-particle":"","parse-names":false,"suffix":""}],"container-title":"Tissue Engineering Part A","id":"ITEM-3","issue":"23-24","issued":{"date-parts":[["2013"]]},"page":"2703-2712","title":"45S5-Bioglass ® -based 3D-scaffolds seeded with human adipose tissue-derived stem cells induce in vivo vascularization in the CAM angiogenesis assay","type":"article-journal","volume":"19"},"uris":["http://www.mendeley.com/documents/?uuid=1cd72243-bd44-4775-a204-58f7a2c8e438"]}],"mendeley":{"formattedCitation":"[46,83,84]","plainTextFormattedCitation":"[46,83,84]","previouslyFormattedCitation":"[46,83,84]"},"properties":{"noteIndex":0},"schema":"https://github.com/citation-style-language/schema/raw/master/csl-citation.json"}</w:instrText>
      </w:r>
      <w:r w:rsidR="00AF185F">
        <w:fldChar w:fldCharType="separate"/>
      </w:r>
      <w:r w:rsidR="003A62BC" w:rsidRPr="003A62BC">
        <w:rPr>
          <w:noProof/>
        </w:rPr>
        <w:t>[46,83,84]</w:t>
      </w:r>
      <w:r w:rsidR="00AF185F">
        <w:fldChar w:fldCharType="end"/>
      </w:r>
      <w:r w:rsidR="00AF185F">
        <w:t xml:space="preserve">. However, our results are also similar to a study by Durand et al., who saw a significant increase in angiogenesis on the </w:t>
      </w:r>
      <w:r w:rsidR="00AF185F" w:rsidRPr="0050577C">
        <w:t xml:space="preserve">CAM membrane when a therapeutic angiogenic metal ion, boron, was doped into 45S5 Bioglass®, in comparison to non-boron doped Bioglass® </w:t>
      </w:r>
      <w:r w:rsidR="00AF185F" w:rsidRPr="0050577C">
        <w:fldChar w:fldCharType="begin" w:fldLock="1"/>
      </w:r>
      <w:r w:rsidR="002F5C61" w:rsidRPr="0050577C">
        <w:instrText>ADDIN CSL_CITATION {"citationItems":[{"id":"ITEM-1","itemData":{"DOI":"10.1039/c4tb01840k","ISBN":"5438742685","ISSN":"2050750X","abstract":"&lt;p&gt; &lt;italic&gt;In vivo&lt;/italic&gt; angiogenic effects of the ionic dissolution products released from microparticles of a boron-modified 45S5 bioactive glass (BG) prepared by partially replacing the SiO &lt;sub&gt;2&lt;/sub&gt; content of 45S5 BG with 2 wt% of B &lt;sub&gt;2&lt;/sub&gt; O &lt;sub&gt;3&lt;/sub&gt; . &lt;/p&gt;","author":[{"dropping-particle":"","family":"Haro Durand","given":"Luis A.","non-dropping-particle":"","parse-names":false,"suffix":""},{"dropping-particle":"","family":"Vargas","given":"Gabriela E.","non-dropping-particle":"","parse-names":false,"suffix":""},{"dropping-particle":"","family":"Romero","given":"Nélida M.","non-dropping-particle":"","parse-names":false,"suffix":""},{"dropping-particle":"","family":"Vera-Mesones","given":"Rosa","non-dropping-particle":"","parse-names":false,"suffix":""},{"dropping-particle":"","family":"Porto-López","given":"José M.","non-dropping-particle":"","parse-names":false,"suffix":""},{"dropping-particle":"","family":"Boccaccini","given":"Aldo R.","non-dropping-particle":"","parse-names":false,"suffix":""},{"dropping-particle":"","family":"Zago","given":"María P.","non-dropping-particle":"","parse-names":false,"suffix":""},{"dropping-particle":"","family":"Baldi","given":"Alberto","non-dropping-particle":"","parse-names":false,"suffix":""},{"dropping-particle":"","family":"Gorustovich","given":"Alejandro","non-dropping-particle":"","parse-names":false,"suffix":""}],"container-title":"Journal of Materials Chemistry B","id":"ITEM-1","issue":"6","issued":{"date-parts":[["2015"]]},"page":"1142-1148","title":"Angiogenic effects of ionic dissolution products released from a boron-doped 45S5 bioactive glass","type":"article-journal","volume":"3"},"uris":["http://www.mendeley.com/documents/?uuid=34dd01a7-3265-4ff1-ae20-efdbe786fc7d"]}],"mendeley":{"formattedCitation":"[85]","plainTextFormattedCitation":"[85]","previouslyFormattedCitation":"[85]"},"properties":{"noteIndex":0},"schema":"https://github.com/citation-style-language/schema/raw/master/csl-citation.json"}</w:instrText>
      </w:r>
      <w:r w:rsidR="00AF185F" w:rsidRPr="0050577C">
        <w:fldChar w:fldCharType="separate"/>
      </w:r>
      <w:r w:rsidR="003A62BC" w:rsidRPr="0050577C">
        <w:rPr>
          <w:noProof/>
        </w:rPr>
        <w:t>[85]</w:t>
      </w:r>
      <w:r w:rsidR="00AF185F" w:rsidRPr="0050577C">
        <w:fldChar w:fldCharType="end"/>
      </w:r>
      <w:r w:rsidR="00AF185F" w:rsidRPr="0050577C">
        <w:t>.</w:t>
      </w:r>
    </w:p>
    <w:p w14:paraId="3D3830AA" w14:textId="64877043" w:rsidR="003A1D36" w:rsidRDefault="003A1D36" w:rsidP="003A1D36">
      <w:r w:rsidRPr="0050577C">
        <w:rPr>
          <w:lang w:val="en-GB"/>
        </w:rPr>
        <w:t xml:space="preserve">The chick embryo model </w:t>
      </w:r>
      <w:r w:rsidRPr="0050577C">
        <w:t xml:space="preserve">offers several </w:t>
      </w:r>
      <w:r w:rsidRPr="0050577C">
        <w:rPr>
          <w:lang w:val="en-GB"/>
        </w:rPr>
        <w:t xml:space="preserve">economic and practical advantages </w:t>
      </w:r>
      <w:r w:rsidRPr="0050577C">
        <w:t xml:space="preserve">over other in animal models and it </w:t>
      </w:r>
      <w:r w:rsidRPr="0050577C">
        <w:rPr>
          <w:lang w:val="en-GB"/>
        </w:rPr>
        <w:t xml:space="preserve">provided valuable insight into the </w:t>
      </w:r>
      <w:r w:rsidRPr="0050577C">
        <w:rPr>
          <w:i/>
          <w:lang w:val="en-GB"/>
        </w:rPr>
        <w:t>in vivo</w:t>
      </w:r>
      <w:r w:rsidRPr="0050577C">
        <w:rPr>
          <w:lang w:val="en-GB"/>
        </w:rPr>
        <w:t xml:space="preserve"> osteogenic and angiogenic effect of the scaffolds. However, it must be highlighted that the chick embryo model does not encompass an infection aspect, essential in assessing the suitability of potential new treatment strategies for osteomyelitis. </w:t>
      </w:r>
      <w:r w:rsidR="001A7C4F" w:rsidRPr="0050577C">
        <w:rPr>
          <w:lang w:val="en-GB"/>
        </w:rPr>
        <w:t>Here,</w:t>
      </w:r>
      <w:r w:rsidR="000A7E9B" w:rsidRPr="0050577C">
        <w:t xml:space="preserve"> we used the chick embryo as a preliminary model to predict the response of the scaffolds within a complex biological environment before assessing the scaffolds in a full-scale osteomyelitis animal model. This</w:t>
      </w:r>
      <w:r w:rsidR="006D6F9A" w:rsidRPr="0050577C">
        <w:t xml:space="preserve"> strategy</w:t>
      </w:r>
      <w:r w:rsidR="000A7E9B" w:rsidRPr="0050577C">
        <w:t xml:space="preserve"> employed the ‘three R’s’ </w:t>
      </w:r>
      <w:r w:rsidR="006D6F9A" w:rsidRPr="0050577C">
        <w:t>principal</w:t>
      </w:r>
      <w:r w:rsidR="000A7E9B" w:rsidRPr="0050577C">
        <w:t xml:space="preserve">, specifically </w:t>
      </w:r>
      <w:r w:rsidRPr="0050577C">
        <w:t>‘</w:t>
      </w:r>
      <w:r w:rsidR="000A7E9B" w:rsidRPr="0050577C">
        <w:t>replacement</w:t>
      </w:r>
      <w:r w:rsidRPr="0050577C">
        <w:t>’</w:t>
      </w:r>
      <w:r w:rsidR="006D6F9A" w:rsidRPr="0050577C">
        <w:t xml:space="preserve"> and </w:t>
      </w:r>
      <w:r w:rsidRPr="0050577C">
        <w:t>‘reduction’</w:t>
      </w:r>
      <w:r w:rsidR="006D6F9A" w:rsidRPr="0050577C">
        <w:t xml:space="preserve"> </w:t>
      </w:r>
      <w:r w:rsidR="006D6F9A" w:rsidRPr="0050577C">
        <w:fldChar w:fldCharType="begin" w:fldLock="1"/>
      </w:r>
      <w:r w:rsidR="002F5C61" w:rsidRPr="0050577C">
        <w:instrText>ADDIN CSL_CITATION {"citationItems":[{"id":"ITEM-1","itemData":{"author":[{"dropping-particle":"","family":"WMS","given":"Russell","non-dropping-particle":"","parse-names":false,"suffix":""},{"dropping-particle":"","family":"RL","given":"Burch","non-dropping-particle":"","parse-names":false,"suffix":""}],"id":"ITEM-1","issued":{"date-parts":[["1959"]]},"publisher":"Universities Federation for Animal Welfare","publisher-place":"Wheathampstead (UK)","title":"The principles of humane experimental technique","type":"book"},"uris":["http://www.mendeley.com/documents/?uuid=aaae6aaa-8ffe-476a-a61d-20bedd4083b8"]}],"mendeley":{"formattedCitation":"[86]","plainTextFormattedCitation":"[86]","previouslyFormattedCitation":"[86]"},"properties":{"noteIndex":0},"schema":"https://github.com/citation-style-language/schema/raw/master/csl-citation.json"}</w:instrText>
      </w:r>
      <w:r w:rsidR="006D6F9A" w:rsidRPr="0050577C">
        <w:fldChar w:fldCharType="separate"/>
      </w:r>
      <w:r w:rsidR="003A62BC" w:rsidRPr="0050577C">
        <w:rPr>
          <w:noProof/>
        </w:rPr>
        <w:t>[86]</w:t>
      </w:r>
      <w:r w:rsidR="006D6F9A" w:rsidRPr="0050577C">
        <w:fldChar w:fldCharType="end"/>
      </w:r>
      <w:r w:rsidR="006D6F9A" w:rsidRPr="0050577C">
        <w:t>.</w:t>
      </w:r>
      <w:r w:rsidR="00C83871" w:rsidRPr="0050577C">
        <w:t xml:space="preserve"> </w:t>
      </w:r>
      <w:r w:rsidR="006D6F9A" w:rsidRPr="0050577C">
        <w:t xml:space="preserve">The animals </w:t>
      </w:r>
      <w:r w:rsidR="00B40F6E" w:rsidRPr="0050577C">
        <w:t xml:space="preserve">within </w:t>
      </w:r>
      <w:r w:rsidR="006D6F9A" w:rsidRPr="0050577C">
        <w:t>o</w:t>
      </w:r>
      <w:r w:rsidR="000A7E9B" w:rsidRPr="0050577C">
        <w:t xml:space="preserve">steomyelitis models </w:t>
      </w:r>
      <w:r w:rsidR="006D6F9A" w:rsidRPr="0050577C">
        <w:t xml:space="preserve">typically </w:t>
      </w:r>
      <w:r w:rsidR="00B40F6E" w:rsidRPr="0050577C">
        <w:t>experience</w:t>
      </w:r>
      <w:r w:rsidR="006D6F9A" w:rsidRPr="0050577C">
        <w:t xml:space="preserve"> </w:t>
      </w:r>
      <w:r w:rsidR="00B40F6E" w:rsidRPr="0050577C">
        <w:t>moderate-severe procedure</w:t>
      </w:r>
      <w:r w:rsidR="004B4FE1" w:rsidRPr="0050577C">
        <w:t>s, undergoing</w:t>
      </w:r>
      <w:r w:rsidR="00B40F6E" w:rsidRPr="0050577C">
        <w:t xml:space="preserve"> multiple </w:t>
      </w:r>
      <w:r w:rsidR="004B4FE1" w:rsidRPr="0050577C">
        <w:t>surgeries</w:t>
      </w:r>
      <w:r w:rsidR="00B40F6E" w:rsidRPr="0050577C">
        <w:t xml:space="preserve"> over a long period of time</w:t>
      </w:r>
      <w:r w:rsidR="004B4FE1" w:rsidRPr="0050577C">
        <w:t xml:space="preserve">. Thus, according to the </w:t>
      </w:r>
      <w:r w:rsidR="00141435" w:rsidRPr="0050577C">
        <w:t>first</w:t>
      </w:r>
      <w:r w:rsidR="004B4FE1" w:rsidRPr="0050577C">
        <w:t xml:space="preserve"> principal, </w:t>
      </w:r>
      <w:r w:rsidR="00C83871" w:rsidRPr="0050577C">
        <w:t>substituting</w:t>
      </w:r>
      <w:r w:rsidR="004B4FE1" w:rsidRPr="0050577C">
        <w:t xml:space="preserve"> animals with alternatives which have a reduced capability of experiencing pain (such as the chick embryo</w:t>
      </w:r>
      <w:r w:rsidR="00C83871" w:rsidRPr="0050577C">
        <w:t xml:space="preserve"> here</w:t>
      </w:r>
      <w:r w:rsidR="004B4FE1" w:rsidRPr="0050577C">
        <w:t>)</w:t>
      </w:r>
      <w:r w:rsidRPr="0050577C">
        <w:t xml:space="preserve">, </w:t>
      </w:r>
      <w:r w:rsidR="00C83871" w:rsidRPr="0050577C">
        <w:t xml:space="preserve">encompasses </w:t>
      </w:r>
      <w:r w:rsidR="004B4FE1" w:rsidRPr="0050577C">
        <w:t>replacement</w:t>
      </w:r>
      <w:r w:rsidR="00C83871" w:rsidRPr="0050577C">
        <w:t xml:space="preserve">. Additionally, this </w:t>
      </w:r>
      <w:r w:rsidR="00855F12" w:rsidRPr="0050577C">
        <w:t>intermediate animal model allow</w:t>
      </w:r>
      <w:r w:rsidRPr="0050577C">
        <w:t>ed</w:t>
      </w:r>
      <w:r w:rsidR="00855F12" w:rsidRPr="0050577C">
        <w:t xml:space="preserve"> us to </w:t>
      </w:r>
      <w:r w:rsidRPr="0050577C">
        <w:t xml:space="preserve">select the lead-performing treatment groups before progressing to an osteomyelitis model, which refines the study resulting in a ‘reduction’ of animal numbers. </w:t>
      </w:r>
      <w:r w:rsidR="002B2D7C" w:rsidRPr="0050577C">
        <w:t>Thus, having demonstrated efficacy through completing this intermediate animal study, in order to</w:t>
      </w:r>
      <w:r w:rsidRPr="0050577C">
        <w:rPr>
          <w:lang w:val="en-GB"/>
        </w:rPr>
        <w:t xml:space="preserve"> more comprehensively assess the </w:t>
      </w:r>
      <w:r w:rsidRPr="0050577C">
        <w:t>antibacterial</w:t>
      </w:r>
      <w:r w:rsidRPr="0050577C">
        <w:rPr>
          <w:lang w:val="en-GB"/>
        </w:rPr>
        <w:t xml:space="preserve"> potential and regenerative capacity of these scaffolds, the obvious next step is to test these scaffolds in, for example, a rat or rabbit osteomyelitis model </w:t>
      </w:r>
      <w:r w:rsidRPr="0050577C">
        <w:rPr>
          <w:lang w:val="en-GB"/>
        </w:rPr>
        <w:fldChar w:fldCharType="begin" w:fldLock="1"/>
      </w:r>
      <w:r w:rsidR="002F5C61" w:rsidRPr="0050577C">
        <w:rPr>
          <w:lang w:val="en-GB"/>
        </w:rPr>
        <w:instrText>ADDIN CSL_CITATION {"citationItems":[{"id":"ITEM-1","itemData":{"DOI":"10.1155/2015/587857","ISSN":"23146141","PMID":"26064928","abstract":"Infection associated with orthopedic implants often results in bone loss and requires surgical removal of the implant. The aim of this study was to evaluate morphological changes of bone adjacent to a bacteria-colonized implant, with the aim of identifying temporal patterns that are characteristic of infection. In an in vivo study with rats, bone changes were assessed using in vivo microCT at 7 time points during a one-month postoperative period. The rats received either a sterile or Staphylococcus aureus-colonized polyetheretherketone screw in the tibia. Bone-implant contact, bone fraction, and bone changes (quiescent, resorbed, and new bone) were calculated from consecutive scans and validated against histomorphometry. The screw pullout strength was estimated from FE models and the results were validated against mechanical testing. In the sterile group, bone-implant contact, bone fraction, and mechanical fixation increased steadily until day 14 and then plateaued. In the infected group, they decreased rapidly. Bone formation was reduced while resorption was increased, with maximum effects observed within 6 days. In summary, the model presented is capable of evaluating the patterns of bone changes due to implant-related infections. The combined use of longitudinal in vivo microCT imaging and image-based finite element analysis provides characteristic signs of infection within 6 days.","author":[{"dropping-particle":"","family":"Stadelmann","given":"Vincent A.","non-dropping-particle":"","parse-names":false,"suffix":""},{"dropping-particle":"","family":"Potapova","given":"Inga","non-dropping-particle":"","parse-names":false,"suffix":""},{"dropping-particle":"","family":"Camenisch","given":"Karin","non-dropping-particle":"","parse-names":false,"suffix":""},{"dropping-particle":"","family":"Nehrbass","given":"Dirk","non-dropping-particle":"","parse-names":false,"suffix":""},{"dropping-particle":"","family":"Richards","given":"R. Geoff","non-dropping-particle":"","parse-names":false,"suffix":""},{"dropping-particle":"","family":"Moriarty","given":"T. Fintan","non-dropping-particle":"","parse-names":false,"suffix":""},{"dropping-particle":"","family":"Chang","given":"Yuhan","non-dropping-particle":"","parse-names":false,"suffix":""}],"container-title":"BioMed Research International","id":"ITEM-1","issued":{"date-parts":[["2015"]]},"publisher":"Hindawi Publishing Corporation","title":"In vivo MicroCT monitoring of osteomyelitis in a rat model","type":"article-journal","volume":"2015"},"uris":["http://www.mendeley.com/documents/?uuid=05fe5576-223b-4193-9ab5-dd307444b825"]},{"id":"ITEM-2","itemData":{"DOI":"10.22203/eCM.v030a11","ISBN":"1473-2262 (Electronic)\\r1473-2262 (Linking)","ISSN":"14732262","PMID":"26388617","abstract":"The local mechanical environment at a fracture is known to influence biological factors such as callus formation, immune cell recruitment and susceptibility to infection. Infection models incorporating a fracture are therefore required to evaluate prevention and treatment of infection after osteosynthesis. The aim of this study was to create humane, standardised and repeatable preclinical models of implant-related bone infection after osteosynthesis in the rabbit humerus. Custom-designed interlocked intramedullary nails and commercially available locking plates were subjected to biomechanical evaluation in cadaveric rabbit humeri; a 10-week in vivo healing study; a dose response study with Staphylococcus aureus over 4 weeks; and finally, a long-term infection of 10 weeks in the plate model.Outcome measures included biomechanical testing, radiography, histology, haematology and quantitative bacteriology. Both implants offered similar biomechanical stability in cadaveric bones, and when applied in the in vivo study, resulted in complete radiographic and histological healing and osteotomy closure within 10-weeks. As expected in the infection study, higher bacterial doses led to an increasing infection rate. In both infected groups, there was a complete lack of osteotomy closure at 4 weeks. C-reactive protein (CRP), lymphocyte: granulocyte ratio and weight loss were increased in infected animals receiving IM nails in comparison with non-inoculated equivalents, although this was less evident in the plate group. In the 10-week infection group, healing does not occur in the plated rabbits. We have successfully developed a rabbit model that is suitable for further studies, particularly those looking into preventative strategies for post-traumatic implant-related osteomyelitis.","author":[{"dropping-particle":"","family":"Arens","given":"D.","non-dropping-particle":"","parse-names":false,"suffix":""},{"dropping-particle":"","family":"Wilke","given":"M.","non-dropping-particle":"","parse-names":false,"suffix":""},{"dropping-particle":"","family":"Calabro","given":"L.","non-dropping-particle":"","parse-names":false,"suffix":""},{"dropping-particle":"","family":"Hackl","given":"S.","non-dropping-particle":"","parse-names":false,"suffix":""},{"dropping-particle":"","family":"Zeiter","given":"S.","non-dropping-particle":"","parse-names":false,"suffix":""},{"dropping-particle":"","family":"Zderic","given":"I.","non-dropping-particle":"","parse-names":false,"suffix":""},{"dropping-particle":"","family":"Richards","given":"R. G.","non-dropping-particle":"","parse-names":false,"suffix":""},{"dropping-particle":"","family":"Moriarty","given":"T. F.","non-dropping-particle":"","parse-names":false,"suffix":""}],"container-title":"European Cells and Materials","id":"ITEM-2","issued":{"date-parts":[["2015"]]},"page":"148-162","title":"A rabbit humerus model of plating and nailing osteosynthesis with and without Staphylococcus aureus osteomyelitis","type":"article-journal","volume":"30"},"uris":["http://www.mendeley.com/documents/?uuid=64c15e78-e63e-4d0c-a5fd-bf43d6864868"]}],"mendeley":{"formattedCitation":"[87,88]","plainTextFormattedCitation":"[87,88]","previouslyFormattedCitation":"[87,88]"},"properties":{"noteIndex":0},"schema":"https://github.com/citation-style-language/schema/raw/master/csl-citation.json"}</w:instrText>
      </w:r>
      <w:r w:rsidRPr="0050577C">
        <w:rPr>
          <w:lang w:val="en-GB"/>
        </w:rPr>
        <w:fldChar w:fldCharType="separate"/>
      </w:r>
      <w:r w:rsidR="003A62BC" w:rsidRPr="0050577C">
        <w:rPr>
          <w:noProof/>
          <w:lang w:val="en-GB"/>
        </w:rPr>
        <w:t>[87,88]</w:t>
      </w:r>
      <w:r w:rsidRPr="0050577C">
        <w:rPr>
          <w:lang w:val="en-GB"/>
        </w:rPr>
        <w:fldChar w:fldCharType="end"/>
      </w:r>
      <w:r w:rsidRPr="0050577C">
        <w:rPr>
          <w:lang w:val="en-GB"/>
        </w:rPr>
        <w:t>.</w:t>
      </w:r>
    </w:p>
    <w:p w14:paraId="3BF50DDB" w14:textId="20461FA1" w:rsidR="00C37E9B" w:rsidRPr="00D86888" w:rsidRDefault="003A1D36" w:rsidP="00C37E9B">
      <w:pPr>
        <w:spacing w:after="240"/>
      </w:pPr>
      <w:r>
        <w:lastRenderedPageBreak/>
        <w:t>I</w:t>
      </w:r>
      <w:r w:rsidR="00C37E9B" w:rsidRPr="00D86888">
        <w:t xml:space="preserve">n summary, the copper-doped bioactive glass scaffolds developed here provide an environment that enhances both osteogenesis and angiogenesis when compared to collagen scaffolds alone and those with non-copper-doped bioactive glass. Of the groups examined, 100% CuBG and 300% CuBG scaffolds hold the most promise. Both scaffolds show significantly enhanced osteogenesis </w:t>
      </w:r>
      <w:r w:rsidR="0099302C">
        <w:t>in vitro and in vivo</w:t>
      </w:r>
      <w:r w:rsidR="006F1A08">
        <w:t xml:space="preserve">. </w:t>
      </w:r>
      <w:r w:rsidR="00C37E9B" w:rsidRPr="00D86888">
        <w:t>100% CuBG-CS might be chosen for defects where there the infection risk is low and bone regeneration is a priority as it significantly enhanced tubule formation</w:t>
      </w:r>
      <w:r w:rsidR="0099302C">
        <w:t xml:space="preserve"> and</w:t>
      </w:r>
      <w:r w:rsidR="00C37E9B" w:rsidRPr="00D86888">
        <w:t xml:space="preserve"> VEGF protein production</w:t>
      </w:r>
      <w:r w:rsidR="0099302C">
        <w:t xml:space="preserve"> in vitro </w:t>
      </w:r>
      <w:r w:rsidR="008D06AA">
        <w:t xml:space="preserve">and angiogenesis in the chick </w:t>
      </w:r>
      <w:r w:rsidR="00783763">
        <w:t xml:space="preserve">embryo </w:t>
      </w:r>
      <w:r w:rsidR="008D06AA">
        <w:t>ex ovo model</w:t>
      </w:r>
      <w:r w:rsidR="00C37E9B" w:rsidRPr="00D86888">
        <w:t xml:space="preserve">. Alternatively, the 300% CuBG-CS might be most suitable in a situation where an infection is present in the debridement site due to its enhanced antibacterial properties against </w:t>
      </w:r>
      <w:r w:rsidR="00C37E9B" w:rsidRPr="00D86888">
        <w:rPr>
          <w:i/>
        </w:rPr>
        <w:t>S. aureus</w:t>
      </w:r>
      <w:r w:rsidR="00C37E9B" w:rsidRPr="00D86888">
        <w:t>. Although 300% CuBG-CS showed some toxicity towards endothelial cells and inhibited their ability to form tubules, in an in vivo situation where the infection risk is high, the critical goal is to help the immune system clear the difficult-to-treat infection and there is a reservoir of new cells (e.g., in the marrow) that can replenish the scaffold once the initial burst of copper has been released i.e. we would expect limited cytotoxicity to endothelial cells in the clinical environment.</w:t>
      </w:r>
      <w:r w:rsidR="0099302C">
        <w:t xml:space="preserve"> This the</w:t>
      </w:r>
      <w:r w:rsidR="00783763">
        <w:t>ory was further supported in our</w:t>
      </w:r>
      <w:r w:rsidR="0099302C">
        <w:t xml:space="preserve"> chick </w:t>
      </w:r>
      <w:r w:rsidR="00783763">
        <w:t xml:space="preserve">embryo </w:t>
      </w:r>
      <w:r w:rsidR="0099302C">
        <w:t xml:space="preserve">ex ovo model where we did not detect any biocompatibility or toxicity issues. </w:t>
      </w:r>
    </w:p>
    <w:p w14:paraId="43215C28" w14:textId="77777777" w:rsidR="00870E3A" w:rsidRPr="00D86888" w:rsidRDefault="00870E3A" w:rsidP="00432F4E">
      <w:pPr>
        <w:pStyle w:val="Heading2"/>
      </w:pPr>
      <w:bookmarkStart w:id="60" w:name="_Toc510971244"/>
      <w:r w:rsidRPr="00D86888">
        <w:t>Conclusion</w:t>
      </w:r>
      <w:bookmarkEnd w:id="60"/>
    </w:p>
    <w:p w14:paraId="71D93CF3" w14:textId="77777777" w:rsidR="00870E3A" w:rsidRDefault="0041036C" w:rsidP="0041036C">
      <w:r w:rsidRPr="00D86888">
        <w:t>Osteomyelitis is a notoriously difficult-to-treat infection that typically requires a two-stage treatment. Herein, we successfully produced a single-step approach to osteomyelitis treatment consisting of collagen copper-doped bioactive glass scaffolds capable of antibacterial activity, without the use of antibiotics, which also stimulate osteogenesis and angiogenesis</w:t>
      </w:r>
      <w:r w:rsidR="0099302C">
        <w:t xml:space="preserve"> both in vitro and in vivo</w:t>
      </w:r>
      <w:r w:rsidRPr="00D86888">
        <w:t>. This platform system could be further modified and used to deliver a variety of other non-antibiotic antimicrobial metal ion-doped minerals. In summary, this study presents a single-stage, off-the-shelf treatment for osteomyelitis which might reduce the need for antibiotics and bone grafting thus reducing hospital stays and costs.</w:t>
      </w:r>
    </w:p>
    <w:p w14:paraId="1A4673DC" w14:textId="77777777" w:rsidR="008C1B91" w:rsidRDefault="008C1B91" w:rsidP="008C1B91">
      <w:pPr>
        <w:pStyle w:val="Heading2"/>
        <w:numPr>
          <w:ilvl w:val="0"/>
          <w:numId w:val="0"/>
        </w:numPr>
      </w:pPr>
      <w:r>
        <w:t>Acknowledgements</w:t>
      </w:r>
    </w:p>
    <w:p w14:paraId="600277FA" w14:textId="252EF43E" w:rsidR="006F1A08" w:rsidRDefault="008C1B91" w:rsidP="008C1B91">
      <w:r>
        <w:t xml:space="preserve">The authors would like to acknowledge Brenton Cavanagh (RCSI) for developing an ImageJ script for Matrigel tubule length. ER would like to thank the Irish Research Council (GOIPG/2015/3044) for providing financial support to this study. For funding, CJK &amp; FOB </w:t>
      </w:r>
      <w:r>
        <w:lastRenderedPageBreak/>
        <w:t>acknowledge RCSI’s Office of Research and Innovation Seed Fund Award (Grant no. GR 14–0963); Science Foundation Ireland (SFI) under Grant no. SFI/12/RC/2278 (the AMBER Centre), and the European Union for a Marie Curie European Reintegration Grant under H2020 (Project Reference 659715). CH and VN would like to acknowledge the following funding supports, SFI AMBER, SFI PIYRA, ERC StG 2D Nanocaps, ERC StG 2D Nanocaps, ERC CoG 3D2DPrint, Horizon2020 NMP Co-Pilot. CH And VN also thank the Advanced Microscopy Laboratory, Trinity College Dublin for provision of their facilities.</w:t>
      </w:r>
    </w:p>
    <w:p w14:paraId="7CD27EE8" w14:textId="77777777" w:rsidR="00E16B3F" w:rsidRDefault="00E16B3F" w:rsidP="00E16B3F">
      <w:pPr>
        <w:pStyle w:val="Heading2"/>
        <w:numPr>
          <w:ilvl w:val="0"/>
          <w:numId w:val="0"/>
        </w:numPr>
      </w:pPr>
      <w:r>
        <w:t>Disclosure of conflicts of interest</w:t>
      </w:r>
    </w:p>
    <w:p w14:paraId="325B84CA" w14:textId="77777777" w:rsidR="00E16B3F" w:rsidRDefault="00E16B3F" w:rsidP="00E16B3F">
      <w:r>
        <w:t>The authors declare no competing financial interests.</w:t>
      </w:r>
    </w:p>
    <w:p w14:paraId="7C02129E" w14:textId="77777777" w:rsidR="00E16B3F" w:rsidRDefault="00E16B3F" w:rsidP="00E16B3F">
      <w:pPr>
        <w:pStyle w:val="Heading2"/>
        <w:numPr>
          <w:ilvl w:val="0"/>
          <w:numId w:val="0"/>
        </w:numPr>
      </w:pPr>
      <w:r>
        <w:t>Data availability</w:t>
      </w:r>
    </w:p>
    <w:p w14:paraId="4F51A677" w14:textId="41F4EBDC" w:rsidR="00E16B3F" w:rsidRDefault="00E16B3F" w:rsidP="00E16B3F">
      <w:r>
        <w:t>The raw/processed data required to reproduce these findings cannot be shared at this time due to technical or time limitations.</w:t>
      </w:r>
    </w:p>
    <w:p w14:paraId="36042EFD" w14:textId="77777777" w:rsidR="008E25F7" w:rsidRPr="00D86888" w:rsidRDefault="008E25F7" w:rsidP="007726B8">
      <w:pPr>
        <w:pStyle w:val="Heading2"/>
        <w:numPr>
          <w:ilvl w:val="0"/>
          <w:numId w:val="0"/>
        </w:numPr>
      </w:pPr>
      <w:r w:rsidRPr="00D86888">
        <w:t>References</w:t>
      </w:r>
    </w:p>
    <w:bookmarkEnd w:id="2"/>
    <w:bookmarkEnd w:id="3"/>
    <w:bookmarkEnd w:id="4"/>
    <w:bookmarkEnd w:id="5"/>
    <w:bookmarkEnd w:id="6"/>
    <w:bookmarkEnd w:id="7"/>
    <w:bookmarkEnd w:id="8"/>
    <w:bookmarkEnd w:id="9"/>
    <w:p w14:paraId="11EFBA59" w14:textId="66D6AFB0" w:rsidR="004D5029" w:rsidRPr="004D5029" w:rsidRDefault="003B6A48" w:rsidP="004D5029">
      <w:pPr>
        <w:widowControl w:val="0"/>
        <w:autoSpaceDE w:val="0"/>
        <w:autoSpaceDN w:val="0"/>
        <w:adjustRightInd w:val="0"/>
        <w:spacing w:after="0" w:line="240" w:lineRule="auto"/>
        <w:ind w:left="640" w:hanging="640"/>
        <w:rPr>
          <w:rFonts w:ascii="Calibri" w:hAnsi="Calibri" w:cs="Calibri"/>
          <w:noProof/>
          <w:szCs w:val="24"/>
        </w:rPr>
      </w:pPr>
      <w:r w:rsidRPr="00D86888">
        <w:fldChar w:fldCharType="begin" w:fldLock="1"/>
      </w:r>
      <w:r w:rsidRPr="00D86888">
        <w:instrText xml:space="preserve">ADDIN Mendeley Bibliography CSL_BIBLIOGRAPHY </w:instrText>
      </w:r>
      <w:r w:rsidRPr="00D86888">
        <w:fldChar w:fldCharType="separate"/>
      </w:r>
      <w:r w:rsidR="004D5029" w:rsidRPr="004D5029">
        <w:rPr>
          <w:rFonts w:ascii="Calibri" w:hAnsi="Calibri" w:cs="Calibri"/>
          <w:noProof/>
          <w:szCs w:val="24"/>
        </w:rPr>
        <w:t>[1]</w:t>
      </w:r>
      <w:r w:rsidR="004D5029" w:rsidRPr="004D5029">
        <w:rPr>
          <w:rFonts w:ascii="Calibri" w:hAnsi="Calibri" w:cs="Calibri"/>
          <w:noProof/>
          <w:szCs w:val="24"/>
        </w:rPr>
        <w:tab/>
        <w:t>G. Walter, M. Kemmerer, C. Kappler, R. Hoffmann, Treatment algorithms for chronic osteomyelitis, Dtsch. Arztebl. Int. 109 (2012) 257–264. doi:10.3238/arztebl.2012.0257.</w:t>
      </w:r>
    </w:p>
    <w:p w14:paraId="34CCAA7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w:t>
      </w:r>
      <w:r w:rsidRPr="004D5029">
        <w:rPr>
          <w:rFonts w:ascii="Calibri" w:hAnsi="Calibri" w:cs="Calibri"/>
          <w:noProof/>
          <w:szCs w:val="24"/>
        </w:rPr>
        <w:tab/>
        <w:t>A.L. Lima, P.R. Oliveira, V.C. Carvalho, S. Cimerman, E. Savio, Recommendations for the treatment of osteomyelitis, Brazilian J. Infect. Dis. 18 (2014) 526–534. doi:10.1016/j.bjid.2013.12.005.</w:t>
      </w:r>
    </w:p>
    <w:p w14:paraId="2AB58C8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w:t>
      </w:r>
      <w:r w:rsidRPr="004D5029">
        <w:rPr>
          <w:rFonts w:ascii="Calibri" w:hAnsi="Calibri" w:cs="Calibri"/>
          <w:noProof/>
          <w:szCs w:val="24"/>
        </w:rPr>
        <w:tab/>
        <w:t>R. Kelsey, A. Kor, F. Cordano, Hematogenous osteomyelitis of the calcaneus in children: surgical treatment and use of implanted antibiotic beads., J. Foot Ankle Surg. 34 (1995) 547–555. doi:10.1016/S1067-2516(09)80076-8.</w:t>
      </w:r>
    </w:p>
    <w:p w14:paraId="11DCC7F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w:t>
      </w:r>
      <w:r w:rsidRPr="004D5029">
        <w:rPr>
          <w:rFonts w:ascii="Calibri" w:hAnsi="Calibri" w:cs="Calibri"/>
          <w:noProof/>
          <w:szCs w:val="24"/>
        </w:rPr>
        <w:tab/>
        <w:t>J.H. Calhoun, M.M. Manring, M. Shirtliff, Osteomyelitis of the long bones, Semin. Plast. Surg. 23 (2009) 59–72. doi:10.1055/s-0029-1214158.</w:t>
      </w:r>
    </w:p>
    <w:p w14:paraId="5DF06662"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w:t>
      </w:r>
      <w:r w:rsidRPr="004D5029">
        <w:rPr>
          <w:rFonts w:ascii="Calibri" w:hAnsi="Calibri" w:cs="Calibri"/>
          <w:noProof/>
          <w:szCs w:val="24"/>
        </w:rPr>
        <w:tab/>
        <w:t>R.C. Fang, R.D. Galiano, Adjunctive therapies in the treatment of osteomyelitis, Semin. Plast. Surg. 23 (2009) 141–147. doi:10.1055/s-0029-1214166.</w:t>
      </w:r>
    </w:p>
    <w:p w14:paraId="6A94B004"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w:t>
      </w:r>
      <w:r w:rsidRPr="004D5029">
        <w:rPr>
          <w:rFonts w:ascii="Calibri" w:hAnsi="Calibri" w:cs="Calibri"/>
          <w:noProof/>
          <w:szCs w:val="24"/>
        </w:rPr>
        <w:tab/>
        <w:t>A.D. Tice, P.A. Hoaglund, D.A. Shoultz, Risk factors and treatment outcomes in osteomyelitis, (2003) 1261–1268. doi:10.1093/jac/dkg186.</w:t>
      </w:r>
    </w:p>
    <w:p w14:paraId="6531714D"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w:t>
      </w:r>
      <w:r w:rsidRPr="004D5029">
        <w:rPr>
          <w:rFonts w:ascii="Calibri" w:hAnsi="Calibri" w:cs="Calibri"/>
          <w:noProof/>
          <w:szCs w:val="24"/>
        </w:rPr>
        <w:tab/>
        <w:t>R. Dimitriou, G.I. Mataliotakis, A.G. Angoules, N.K. Kanakaris, P. V Giannoudis, Complications following autologous bone graft harvesting from the iliac crest and using the RIA : A systematic review, Injury. 42 (2011) 3–15. doi:10.1016/j.injury.2011.06.015.</w:t>
      </w:r>
    </w:p>
    <w:p w14:paraId="34D48DBC"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w:t>
      </w:r>
      <w:r w:rsidRPr="004D5029">
        <w:rPr>
          <w:rFonts w:ascii="Calibri" w:hAnsi="Calibri" w:cs="Calibri"/>
          <w:noProof/>
          <w:szCs w:val="24"/>
        </w:rPr>
        <w:tab/>
        <w:t>J.S. Gogia, J.P. Meehan, P.E. Di Cesare, A.A. Jamali, Local antibiotic therapy in osteomyelitis, Semin. Plast. Surg. 23 (2009) 100–107. doi:10.1055/s-0029-1214162.</w:t>
      </w:r>
    </w:p>
    <w:p w14:paraId="594E3B50"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[9]</w:t>
      </w:r>
      <w:r w:rsidRPr="004D5029">
        <w:rPr>
          <w:rFonts w:ascii="Calibri" w:hAnsi="Calibri" w:cs="Calibri"/>
          <w:noProof/>
          <w:szCs w:val="24"/>
        </w:rPr>
        <w:tab/>
        <w:t xml:space="preserve">Center for Drug Evaluation and Research, Information for Consumers (Drugs) - Battle of the Bugs: Fighting Antibiotic Resistance, (2011). http://www.fda.gov/Drugs/ResourcesForYou/Consumers/ucm143568.htm </w:t>
      </w:r>
      <w:r w:rsidRPr="004D5029">
        <w:rPr>
          <w:rFonts w:ascii="Calibri" w:hAnsi="Calibri" w:cs="Calibri"/>
          <w:noProof/>
          <w:szCs w:val="24"/>
        </w:rPr>
        <w:lastRenderedPageBreak/>
        <w:t>(accessed January 15, 2016).</w:t>
      </w:r>
    </w:p>
    <w:p w14:paraId="294659FC"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[10]</w:t>
      </w:r>
      <w:r w:rsidRPr="004D5029">
        <w:rPr>
          <w:rFonts w:ascii="Calibri" w:hAnsi="Calibri" w:cs="Calibri"/>
          <w:noProof/>
          <w:szCs w:val="24"/>
        </w:rPr>
        <w:tab/>
        <w:t>CenterWatch, FDA approved drugs in infections and infectious diseases, (2017). http://www.centerwatch.com/drug-information/fda-approved-drugs/therapeutic-area/25/infections-and-infectious-diseases (accessed August 8, 2017).</w:t>
      </w:r>
    </w:p>
    <w:p w14:paraId="0AF6DDE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[11]</w:t>
      </w:r>
      <w:r w:rsidRPr="004D5029">
        <w:rPr>
          <w:rFonts w:ascii="Calibri" w:hAnsi="Calibri" w:cs="Calibri"/>
          <w:noProof/>
          <w:szCs w:val="24"/>
        </w:rPr>
        <w:tab/>
        <w:t>C. Wu, Y. Zhou, M. Xu, P. Han, L. Chen, J. Chang, Y. Xiao, Copper-containing mesoporous bioactive glass scaffolds with multifunctional properties of angiogenesis capacity, osteostimulation and antibacterial activity, Biomaterials. 34 (2013) 422–433. doi:10.1016/j.biomaterials.2012.09.066.</w:t>
      </w:r>
    </w:p>
    <w:p w14:paraId="3BACD4F1"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[12]</w:t>
      </w:r>
      <w:r w:rsidRPr="004D5029">
        <w:rPr>
          <w:rFonts w:ascii="Calibri" w:hAnsi="Calibri" w:cs="Calibri"/>
          <w:noProof/>
          <w:szCs w:val="24"/>
        </w:rPr>
        <w:tab/>
        <w:t>Y.F. Goh, A.Z. Alshemary, M. Akram, M.R. Abdul Kadir, R. Hussain, Bioactive glass: an in-vitro comparative study of doping with nanoscale copper and silver particles, Int. J. Appl. Glas. Sci. 5 (2014) 255–266. doi:10.1111/ijag.12061.</w:t>
      </w:r>
    </w:p>
    <w:p w14:paraId="70720773"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[13]</w:t>
      </w:r>
      <w:r w:rsidRPr="004D5029">
        <w:rPr>
          <w:rFonts w:ascii="Calibri" w:hAnsi="Calibri" w:cs="Calibri"/>
          <w:noProof/>
          <w:szCs w:val="24"/>
        </w:rPr>
        <w:tab/>
        <w:t>D. Longano, N. Ditaranto, L. Sabbatini, L. Torsi, N. Cioffi, Synthesis and antimicrobial activity of copper nanomaterials, in: N. Cioffi, M. Rai (Eds.), Nano-Antimicrobials, Springer Berlin Heidelberg, 2011: pp. 85–117. doi:10.1007/978-3-642-24428-5_3.</w:t>
      </w:r>
    </w:p>
    <w:p w14:paraId="6194C82D"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[14]</w:t>
      </w:r>
      <w:r w:rsidRPr="004D5029">
        <w:rPr>
          <w:rFonts w:ascii="Calibri" w:hAnsi="Calibri" w:cs="Calibri"/>
          <w:noProof/>
          <w:szCs w:val="24"/>
        </w:rPr>
        <w:tab/>
        <w:t>S.L.M. Dahl, R.B. Rucker, L.E. Niklason, Effects of copper and cross-linking on the extracellular matrix of tissue-engineered arteries, Cell Transplant. 14 (2005) 367–374. http://www.ncbi.nlm.nih.gov/pubmed/16180655.</w:t>
      </w:r>
    </w:p>
    <w:p w14:paraId="23D05ADD"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[15]</w:t>
      </w:r>
      <w:r w:rsidRPr="004D5029">
        <w:rPr>
          <w:rFonts w:ascii="Calibri" w:hAnsi="Calibri" w:cs="Calibri"/>
          <w:noProof/>
          <w:szCs w:val="24"/>
        </w:rPr>
        <w:tab/>
        <w:t>J. Pablo Rodrguez, S. Ros, M. Gonzlez, Modulation of the proliferation and differentiation of human mesenchymal stem cells by copper, J. Cell. Biochem. 85 (2002) 92–100. doi:10.1002/jcb.10111.</w:t>
      </w:r>
    </w:p>
    <w:p w14:paraId="0B3A9513"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[16]</w:t>
      </w:r>
      <w:r w:rsidRPr="004D5029">
        <w:rPr>
          <w:rFonts w:ascii="Calibri" w:hAnsi="Calibri" w:cs="Calibri"/>
          <w:noProof/>
          <w:szCs w:val="24"/>
        </w:rPr>
        <w:tab/>
        <w:t>S.N. Rath, A. Brandl, D. Hiller, A. Hoppe, U. Gbureck, R.E. Horch, A.R. Boccaccini, U. Kneser, Bioactive copper-doped glass scaffolds can stimulate endothelial cells in co-culture in combination with mesenchymal stem cells, PLoS One. 9 (2014) 1–24. doi:10.1371/journal.pone.0113319.</w:t>
      </w:r>
    </w:p>
    <w:p w14:paraId="6175A3A3"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[17]</w:t>
      </w:r>
      <w:r w:rsidRPr="004D5029">
        <w:rPr>
          <w:rFonts w:ascii="Calibri" w:hAnsi="Calibri" w:cs="Calibri"/>
          <w:noProof/>
          <w:szCs w:val="24"/>
        </w:rPr>
        <w:tab/>
        <w:t>M.N. Rahaman, D.E. Day, B. Sonny Bal, Q. Fu, S.B. Jung, L.F. Bonewald, A.P. Tomsia, Bioactive glass in tissue engineering, Acta Biomater. 7 (2011) 2355–2373. doi:10.1016/j.actbio.2011.03.016.</w:t>
      </w:r>
    </w:p>
    <w:p w14:paraId="791384B8"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[18]</w:t>
      </w:r>
      <w:r w:rsidRPr="004D5029">
        <w:rPr>
          <w:rFonts w:ascii="Calibri" w:hAnsi="Calibri" w:cs="Calibri"/>
          <w:noProof/>
          <w:szCs w:val="24"/>
        </w:rPr>
        <w:tab/>
        <w:t>F.G. Lyons, J.P. Gleeson, S. Partap, K. Coghlan, F.J. O’Brien, Novel microhydroxyapatite particles in a collagen scaffold: a bioactive bone void filler?, Clin. Orthop. Relat. Res. 472 (2014) 1318–1328. doi:10.1007/s11999-013-3438-0.</w:t>
      </w:r>
    </w:p>
    <w:p w14:paraId="7CD7853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[19]</w:t>
      </w:r>
      <w:r w:rsidRPr="004D5029">
        <w:rPr>
          <w:rFonts w:ascii="Calibri" w:hAnsi="Calibri" w:cs="Calibri"/>
          <w:noProof/>
          <w:szCs w:val="24"/>
        </w:rPr>
        <w:tab/>
        <w:t>A.J. Ryan, F.J. O’Brien, Insoluble elastin reduces collagen scaffold stiffness, improves viscoelastic properties, and induces a contractile phenotype in smooth muscle cells, Biomaterials. 73 (2015) 296–307. doi:10.1016/j.biomaterials.2015.09.003.</w:t>
      </w:r>
    </w:p>
    <w:p w14:paraId="731FAC35"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[20]</w:t>
      </w:r>
      <w:r w:rsidRPr="004D5029">
        <w:rPr>
          <w:rFonts w:ascii="Calibri" w:hAnsi="Calibri" w:cs="Calibri"/>
          <w:noProof/>
          <w:szCs w:val="24"/>
        </w:rPr>
        <w:tab/>
        <w:t>P. Roche, T. Alekseeva, A. Widaa, A.J. Ryan, A. Matsiko, G. Duffy, F.J. O’Brien, M. Walsh, Olfactory neurospheres and peripheral nerve regeneration in a pre clinical model, Ir. J. Med. Sci. (2015) 116.</w:t>
      </w:r>
    </w:p>
    <w:p w14:paraId="211E63D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[21]</w:t>
      </w:r>
      <w:r w:rsidRPr="004D5029">
        <w:rPr>
          <w:rFonts w:ascii="Calibri" w:hAnsi="Calibri" w:cs="Calibri"/>
          <w:noProof/>
          <w:szCs w:val="24"/>
        </w:rPr>
        <w:tab/>
        <w:t>T.J. Levingstone, A. Ramesh, R.T. Brady, P.A.J. Brama, C. Kearney, J.P. Gleeson, F.J. O’Brien, Cell-free multi-layered collagen-based scaffolds demonstrate layer specific regeneration of functional osteochondral tissue in caprine joints, Biomaterials. 87 (2016) 69–81. doi:10.1016/j.biomaterials.2016.02.006.</w:t>
      </w:r>
    </w:p>
    <w:p w14:paraId="25EA03C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[22]</w:t>
      </w:r>
      <w:r w:rsidRPr="004D5029">
        <w:rPr>
          <w:rFonts w:ascii="Calibri" w:hAnsi="Calibri" w:cs="Calibri"/>
          <w:noProof/>
          <w:szCs w:val="24"/>
        </w:rPr>
        <w:tab/>
        <w:t>C. O’Leary, B. Cavanagh, R.E. Unger, C.J. Kirkpatrick, S.O. Dea, F.J. O’Brien, S. Cryan, The development of a tissue-engineered tracheobronchial epithelial model using a bilayered collagen-hyaluronate scaffold, Biomaterials. 85 (2016) 111–127. doi:10.1016/j.biomaterials.2016.01.065.</w:t>
      </w:r>
    </w:p>
    <w:p w14:paraId="1DA0CC9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[23]</w:t>
      </w:r>
      <w:r w:rsidRPr="004D5029">
        <w:rPr>
          <w:rFonts w:ascii="Calibri" w:hAnsi="Calibri" w:cs="Calibri"/>
          <w:noProof/>
          <w:szCs w:val="24"/>
        </w:rPr>
        <w:tab/>
        <w:t>F.J. O’Brien, Biomaterials &amp; scaffolds for tissue engineering, Mater. Today. 14 (2011) 88–95. doi:10.1016/S1369-7021(11)70058-X.</w:t>
      </w:r>
    </w:p>
    <w:p w14:paraId="3CD616D3"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[24]</w:t>
      </w:r>
      <w:r w:rsidRPr="004D5029">
        <w:rPr>
          <w:rFonts w:ascii="Calibri" w:hAnsi="Calibri" w:cs="Calibri"/>
          <w:noProof/>
          <w:szCs w:val="24"/>
        </w:rPr>
        <w:tab/>
        <w:t>G.M. Cunniffe, C.M. Curtin, E.M. Thompson, G.R. Dickson, F.J. O’Brien, Content-dependent osteogenic response of nanohydroxyapatite: an in vitro and in vivo assessment within collagen-based scaffolds, ACS Appl. Mater. Interfaces. 8 (2016) 23477–23488. doi:10.1021/acsami.6b06596.</w:t>
      </w:r>
    </w:p>
    <w:p w14:paraId="7C365F2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[25]</w:t>
      </w:r>
      <w:r w:rsidRPr="004D5029">
        <w:rPr>
          <w:rFonts w:ascii="Calibri" w:hAnsi="Calibri" w:cs="Calibri"/>
          <w:noProof/>
          <w:szCs w:val="24"/>
        </w:rPr>
        <w:tab/>
        <w:t xml:space="preserve">L.L. Hench, R.J. Splinter, W.C. Allen, T.K. Greenlee, Bonding mechanisms at the </w:t>
      </w:r>
      <w:r w:rsidRPr="004D5029">
        <w:rPr>
          <w:rFonts w:ascii="Calibri" w:hAnsi="Calibri" w:cs="Calibri"/>
          <w:noProof/>
          <w:szCs w:val="24"/>
        </w:rPr>
        <w:lastRenderedPageBreak/>
        <w:t>interface of ceramic prosthetic materials, J. Biomed. Mater. Res. 5 (1971) 117–141. doi:10.1002/jbm.820050611.</w:t>
      </w:r>
    </w:p>
    <w:p w14:paraId="4CEE99A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[26]</w:t>
      </w:r>
      <w:r w:rsidRPr="004D5029">
        <w:rPr>
          <w:rFonts w:ascii="Calibri" w:hAnsi="Calibri" w:cs="Calibri"/>
          <w:noProof/>
          <w:szCs w:val="24"/>
        </w:rPr>
        <w:tab/>
        <w:t>N. Lindfors, J. Geurts, P. Hyvonen, A. Suda, A. Domenico, S. Artiaco, C. Alizadeh, A. Brychcy, J. Bialecki, C. Romano, Antibacterial bioactive glass, S53P4, for chronic bone infections – A multinational study, Adv. Exp. Med. Biol. 971 (2017) 81–92. doi:doi: 10.1007/5584_2016_156.</w:t>
      </w:r>
    </w:p>
    <w:p w14:paraId="7889F7E1"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[27]</w:t>
      </w:r>
      <w:r w:rsidRPr="004D5029">
        <w:rPr>
          <w:rFonts w:ascii="Calibri" w:hAnsi="Calibri" w:cs="Calibri"/>
          <w:noProof/>
          <w:szCs w:val="24"/>
        </w:rPr>
        <w:tab/>
        <w:t>E. Quinlan, S. Partap, M.M. Azevedo, G. Jell, M.M. Stevens, F.J. O’Brien, Hypoxia-mimicking bioactive glass/collagen glycosaminoglycan composite scaffolds to enhance angiogenesis and bone repair, Biomaterials. 52 (2015) 358–366. doi:10.1016/j.biomaterials.2015.02.006.</w:t>
      </w:r>
    </w:p>
    <w:p w14:paraId="5FF76CD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[28]</w:t>
      </w:r>
      <w:r w:rsidRPr="004D5029">
        <w:rPr>
          <w:rFonts w:ascii="Calibri" w:hAnsi="Calibri" w:cs="Calibri"/>
          <w:noProof/>
          <w:szCs w:val="24"/>
        </w:rPr>
        <w:tab/>
        <w:t>A. Oki, B. Parveen, S. Hossain, S. Adeniji, H. Donahue, Preparation and in vitro bioactivity of zinc containing sol-gel – derived bioglass materials, J. Biomed. Mater. Res. Part A. 69 (2004) 216–221. doi:10.1002/jbm.a.20070.</w:t>
      </w:r>
    </w:p>
    <w:p w14:paraId="321883D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[29]</w:t>
      </w:r>
      <w:r w:rsidRPr="004D5029">
        <w:rPr>
          <w:rFonts w:ascii="Calibri" w:hAnsi="Calibri" w:cs="Calibri"/>
          <w:noProof/>
          <w:szCs w:val="24"/>
        </w:rPr>
        <w:tab/>
        <w:t>D. Kozon, K. Zheng, E. Boccardi, Y. Liu, L. Liverani, A.R. Boccaccini, Synthesis of monodispersed Ag-doped bioactive glass nanoparticles via surface modification, Materials (Basel). 9 (2016) 1–8. doi:10.3390/ma9040225.</w:t>
      </w:r>
    </w:p>
    <w:p w14:paraId="7186F7B1"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[30]</w:t>
      </w:r>
      <w:r w:rsidRPr="004D5029">
        <w:rPr>
          <w:rFonts w:ascii="Calibri" w:hAnsi="Calibri" w:cs="Calibri"/>
          <w:noProof/>
          <w:szCs w:val="24"/>
        </w:rPr>
        <w:tab/>
        <w:t>F. Daivid, T.J. Levingstone, W. Schneeweiss, M. de Swarte, H. Jahns, J.P. Gleeson, F.J. O’Brien, Enhanced bone healing using collagen-hydroxyapatite scaffold implantation in the treatment of a large multiloculated mandibular aneurysmal bone cyst in a thoroughbred filly, J. Tissue Eng. Regen. Med. (2015) 1193–1199. doi:10.1002/term.</w:t>
      </w:r>
    </w:p>
    <w:p w14:paraId="61D935A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[31]</w:t>
      </w:r>
      <w:r w:rsidRPr="004D5029">
        <w:rPr>
          <w:rFonts w:ascii="Calibri" w:hAnsi="Calibri" w:cs="Calibri"/>
          <w:noProof/>
          <w:szCs w:val="24"/>
        </w:rPr>
        <w:tab/>
        <w:t>C. O’Leary, F.J. O’Brien, S.-A. Cryan, Retinoic acid-loaded collagen-hyaluronate scaffolds: a bioactive material for respiratory tissue regeneration, ACS Biomater. Sci. Eng. 3 (2017) 1381–1393. doi:10.1021/acsbiomaterials.6b00561.</w:t>
      </w:r>
    </w:p>
    <w:p w14:paraId="64EC980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[32]</w:t>
      </w:r>
      <w:r w:rsidRPr="004D5029">
        <w:rPr>
          <w:rFonts w:ascii="Calibri" w:hAnsi="Calibri" w:cs="Calibri"/>
          <w:noProof/>
          <w:szCs w:val="24"/>
        </w:rPr>
        <w:tab/>
        <w:t>R.M. Raftery, B. Woods, A.L.P. Marques, J. Moreira-Silva, T.H. Silva, S.A. Cryan, R.L. Reis, F.J. O’Brien, Multifunctional biomaterials from the sea: Assessing the effects of chitosan incorporation into collagen scaffolds on mechanical and biological functionality, Acta Biomater. 43 (2016) 160–169. doi:10.1016/j.actbio.2016.07.009.</w:t>
      </w:r>
    </w:p>
    <w:p w14:paraId="6391BD4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[33]</w:t>
      </w:r>
      <w:r w:rsidRPr="004D5029">
        <w:rPr>
          <w:rFonts w:ascii="Calibri" w:hAnsi="Calibri" w:cs="Calibri"/>
          <w:noProof/>
          <w:szCs w:val="24"/>
        </w:rPr>
        <w:tab/>
        <w:t>F. Lebre, R. Sridharan, M.J. Sawkins, D.J. Kelly, F.J. O’Brien, E.C. Lavelle, The shape and size of hydroxyapatite particles dictate inflammatory responses following implantation, Sci. Rep. 7 (2017) 1–13. doi:10.1038/s41598-017-03086-0.</w:t>
      </w:r>
    </w:p>
    <w:p w14:paraId="691834F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[34]</w:t>
      </w:r>
      <w:r w:rsidRPr="004D5029">
        <w:rPr>
          <w:rFonts w:ascii="Calibri" w:hAnsi="Calibri" w:cs="Calibri"/>
          <w:noProof/>
          <w:szCs w:val="24"/>
        </w:rPr>
        <w:tab/>
        <w:t>A.J. Ryan, J.P. Gleeson, A. Matsiko, E.M. Thompson, F.J. O’Brien, Effect of different hydroxyapatite incorporation methods on the structural and biological properties of porous collagen scaffolds for bone repair, J. Anat. 227 (2014) 732–745. doi:10.1111/joa.12262.</w:t>
      </w:r>
    </w:p>
    <w:p w14:paraId="60B513E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[35]</w:t>
      </w:r>
      <w:r w:rsidRPr="004D5029">
        <w:rPr>
          <w:rFonts w:ascii="Calibri" w:hAnsi="Calibri" w:cs="Calibri"/>
          <w:noProof/>
          <w:szCs w:val="24"/>
        </w:rPr>
        <w:tab/>
        <w:t>T.A. Scott, Refractive index of ethanol-water mixures and density and refractive index of ethanol-water-ethyl ether mixtures, J. Phys. Chem. 50 (1946) 406–412.</w:t>
      </w:r>
    </w:p>
    <w:p w14:paraId="1DC9E19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[36]</w:t>
      </w:r>
      <w:r w:rsidRPr="004D5029">
        <w:rPr>
          <w:rFonts w:ascii="Calibri" w:hAnsi="Calibri" w:cs="Calibri"/>
          <w:noProof/>
          <w:szCs w:val="24"/>
        </w:rPr>
        <w:tab/>
        <w:t>XL-SciTech, Bioactive Glass Microspheres: 4PiGraft(TM), (2013). http://xlscitech.com/products/Products-Functional.html (accessed July 24, 2017).</w:t>
      </w:r>
    </w:p>
    <w:p w14:paraId="64DFE858"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[37]</w:t>
      </w:r>
      <w:r w:rsidRPr="004D5029">
        <w:rPr>
          <w:rFonts w:ascii="Calibri" w:hAnsi="Calibri" w:cs="Calibri"/>
          <w:noProof/>
          <w:szCs w:val="24"/>
        </w:rPr>
        <w:tab/>
        <w:t>J.P. Gleeson, N.A. Plunkett, F.J. O’Brien, Addition of hydroxyapatite improves stiffness, interconnectivity and osteogenic potential of a highly porous collagen-based scaffold for bone tissue regeneration, Eur. Cells Mater. 20 (2010) 218–230.</w:t>
      </w:r>
    </w:p>
    <w:p w14:paraId="7CE1624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[38]</w:t>
      </w:r>
      <w:r w:rsidRPr="004D5029">
        <w:rPr>
          <w:rFonts w:ascii="Calibri" w:hAnsi="Calibri" w:cs="Calibri"/>
          <w:noProof/>
          <w:szCs w:val="24"/>
        </w:rPr>
        <w:tab/>
        <w:t>F.J. O’Brien, B.A. Harley, I. V. Yannas, L. Gibson, Influence of freezing rate on pore structure in freeze-dried collagen-GAG scaffolds, Biomaterials. 25 (2004) 1077–1086. doi:10.1016/S0142-9612(03)00630-6.</w:t>
      </w:r>
    </w:p>
    <w:p w14:paraId="6D84A76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[39]</w:t>
      </w:r>
      <w:r w:rsidRPr="004D5029">
        <w:rPr>
          <w:rFonts w:ascii="Calibri" w:hAnsi="Calibri" w:cs="Calibri"/>
          <w:noProof/>
          <w:szCs w:val="24"/>
        </w:rPr>
        <w:tab/>
        <w:t>M.G. Haugh, M.J. Jaasma, F.J. O’Brien, The effect of dehydrothermal treatment on the mechanical and structural properties of collagen-GAG scaffolds, J. Biomed. Mater. Res. - Part A. 89 (2009) 363–369. doi:10.1002/jbm.a.31955.</w:t>
      </w:r>
    </w:p>
    <w:p w14:paraId="15179B80"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[40]</w:t>
      </w:r>
      <w:r w:rsidRPr="004D5029">
        <w:rPr>
          <w:rFonts w:ascii="Calibri" w:hAnsi="Calibri" w:cs="Calibri"/>
          <w:noProof/>
          <w:szCs w:val="24"/>
        </w:rPr>
        <w:tab/>
        <w:t>M.G. Haugh, C.M. Murphy, R.C. Mckiernan, C. Altenbuchner, F.J. O’Brien, Crosslinking and mechanical properties significantly influence cell attachment, proliferation, and migration within collagen glycosaminoglycan scaffolds, Tissue Eng. Part A. 17 (2011) 1201–1208.</w:t>
      </w:r>
    </w:p>
    <w:p w14:paraId="45B53911"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lastRenderedPageBreak/>
        <w:t>[41]</w:t>
      </w:r>
      <w:r w:rsidRPr="004D5029">
        <w:rPr>
          <w:rFonts w:ascii="Calibri" w:hAnsi="Calibri" w:cs="Calibri"/>
          <w:noProof/>
          <w:szCs w:val="24"/>
        </w:rPr>
        <w:tab/>
        <w:t>P. Speulveda, J.R. Jones, L.L. Hench, Characterization of melt-derived 45S5 and sol-gel-derived 58S bioactive glasses, J. Biomed. Mater. Res. (2001) 564–569. doi:10.1002/jbm.0000.</w:t>
      </w:r>
    </w:p>
    <w:p w14:paraId="545B2A8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[42]</w:t>
      </w:r>
      <w:r w:rsidRPr="004D5029">
        <w:rPr>
          <w:rFonts w:ascii="Calibri" w:hAnsi="Calibri" w:cs="Calibri"/>
          <w:noProof/>
          <w:szCs w:val="24"/>
        </w:rPr>
        <w:tab/>
        <w:t>I. V. Yannas, J.F. Burke, Design of an artificial skin. I. Basic design principles, J. Biomed. Mater. Res. 14 (1980) 65–81. doi:10.1002/jbm.820140108.</w:t>
      </w:r>
    </w:p>
    <w:p w14:paraId="487B3F5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[43]</w:t>
      </w:r>
      <w:r w:rsidRPr="004D5029">
        <w:rPr>
          <w:rFonts w:ascii="Calibri" w:hAnsi="Calibri" w:cs="Calibri"/>
          <w:noProof/>
          <w:szCs w:val="24"/>
        </w:rPr>
        <w:tab/>
        <w:t>R.J. Wassersug, A procedure for differential staining of cartilage and bone in whole, formalin fixed vertebrates, Stain Technol. 51 (1976) 131–134. doi:10.3109/10520297609116684.</w:t>
      </w:r>
    </w:p>
    <w:p w14:paraId="3B3A5662"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[44]</w:t>
      </w:r>
      <w:r w:rsidRPr="004D5029">
        <w:rPr>
          <w:rFonts w:ascii="Calibri" w:hAnsi="Calibri" w:cs="Calibri"/>
          <w:noProof/>
          <w:szCs w:val="24"/>
        </w:rPr>
        <w:tab/>
        <w:t>V. Hamburger, H.L. Hamilton, A series of normal stages in the development of the chick embryo, Dev. Dyn. 195 (1992) 231–272. doi:10.1002/aja.1001950404.</w:t>
      </w:r>
    </w:p>
    <w:p w14:paraId="4810BCA7"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[45]</w:t>
      </w:r>
      <w:r w:rsidRPr="004D5029">
        <w:rPr>
          <w:rFonts w:ascii="Calibri" w:hAnsi="Calibri" w:cs="Calibri"/>
          <w:noProof/>
          <w:szCs w:val="24"/>
        </w:rPr>
        <w:tab/>
        <w:t>J. Luo, C. Redies, Ex ovo electroporation for gene transfer into older chicken embryos, Dev. Dyn. 233 (2005) 1470–1477. doi:10.1002/dvdy.20454.</w:t>
      </w:r>
    </w:p>
    <w:p w14:paraId="45221E58"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[46]</w:t>
      </w:r>
      <w:r w:rsidRPr="004D5029">
        <w:rPr>
          <w:rFonts w:ascii="Calibri" w:hAnsi="Calibri" w:cs="Calibri"/>
          <w:noProof/>
          <w:szCs w:val="24"/>
        </w:rPr>
        <w:tab/>
        <w:t>G.E. Vargas, R.V. Mesones, O. Bretcanu, J.M.P. López, A.R. Boccaccini, A. Gorustovich, Biocompatibility and bone mineralization potential of 45S5 Bioglass®-derived glass-ceramic scaffolds in chick embryos, Acta Biomater. 5 (2009) 374–380. doi:10.1016/j.actbio.2008.07.016.</w:t>
      </w:r>
    </w:p>
    <w:p w14:paraId="48F30157"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[47]</w:t>
      </w:r>
      <w:r w:rsidRPr="004D5029">
        <w:rPr>
          <w:rFonts w:ascii="Calibri" w:hAnsi="Calibri" w:cs="Calibri"/>
          <w:noProof/>
          <w:szCs w:val="24"/>
        </w:rPr>
        <w:tab/>
        <w:t>O. Elibol, J. Brake, Effect of egg turning angle and frequency during incubation on hatchability and incidence of unhatched broiler embryos with head in the small end of the egg, Poult. Sci. 85 (2006) 1433–1437. doi:10.1093/ps/85.8.1433.</w:t>
      </w:r>
    </w:p>
    <w:p w14:paraId="2D874B9C"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[48]</w:t>
      </w:r>
      <w:r w:rsidRPr="004D5029">
        <w:rPr>
          <w:rFonts w:ascii="Calibri" w:hAnsi="Calibri" w:cs="Calibri"/>
          <w:noProof/>
          <w:szCs w:val="24"/>
        </w:rPr>
        <w:tab/>
        <w:t>R.J. Wasserbug, Wassersug76 - a procedure for differential staining of cartilage and bone in whale formalin. fixed vertebrates.pdf.pdf, Stain Technol. 51 (1976) 131–133.</w:t>
      </w:r>
    </w:p>
    <w:p w14:paraId="3A6C73D1"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[49]</w:t>
      </w:r>
      <w:r w:rsidRPr="004D5029">
        <w:rPr>
          <w:rFonts w:ascii="Calibri" w:hAnsi="Calibri" w:cs="Calibri"/>
          <w:noProof/>
          <w:szCs w:val="24"/>
        </w:rPr>
        <w:tab/>
        <w:t>J. Bejarano, P. Caviedes, H. Palza, Sol – gel synthesis and in vitro bioactivity of copper and zinc-doped silicate bioactive glasses and glass-ceramics, Biomed. Mater. 10 (2015) 1–13. doi:10.1088/1748-6041/10/2/025001.</w:t>
      </w:r>
    </w:p>
    <w:p w14:paraId="6DA3F217"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[50]</w:t>
      </w:r>
      <w:r w:rsidRPr="004D5029">
        <w:rPr>
          <w:rFonts w:ascii="Calibri" w:hAnsi="Calibri" w:cs="Calibri"/>
          <w:noProof/>
          <w:szCs w:val="24"/>
        </w:rPr>
        <w:tab/>
        <w:t>J. Zeltinger, J.K. Sherwood, D.A. Graham, R. Müeller, L.G. Griffith, Effect of pore size and void fraction on cellular adhesion, proliferation, and matrix deposition, Tissue Eng. 7 (2001) 557–572. doi:10.1089/107632701753213183.</w:t>
      </w:r>
    </w:p>
    <w:p w14:paraId="458B3C0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[51]</w:t>
      </w:r>
      <w:r w:rsidRPr="004D5029">
        <w:rPr>
          <w:rFonts w:ascii="Calibri" w:hAnsi="Calibri" w:cs="Calibri"/>
          <w:noProof/>
          <w:szCs w:val="24"/>
        </w:rPr>
        <w:tab/>
        <w:t>G. Akay, M.A. Birch, M.A. Bokhari, Microcellular polyHIPE polymer supports osteoblast growth and bone formation in vitro, Biomaterials. 25 (2004) 3991–4000. doi:10.1016/j.biomaterials.2003.10.086.</w:t>
      </w:r>
    </w:p>
    <w:p w14:paraId="098B23D4"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[52]</w:t>
      </w:r>
      <w:r w:rsidRPr="004D5029">
        <w:rPr>
          <w:rFonts w:ascii="Calibri" w:hAnsi="Calibri" w:cs="Calibri"/>
          <w:noProof/>
          <w:szCs w:val="24"/>
        </w:rPr>
        <w:tab/>
        <w:t>L.R. Madden, D.J. Mortisen, E.M. Sussman, S.K. Dupras, J.A. Fugate, J.L. Cuy, K.D. Hauch, M.A. Laflamme, C.E. Murry, B.D. Ratner, Proangiogenic scaffolds as functional templates for cardiac tissue engineering., Proc. Natl. Acad. Sci. U. S. A. 107 (2010) 15211–6. doi:10.1073/pnas.1006442107.</w:t>
      </w:r>
    </w:p>
    <w:p w14:paraId="39EA277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[53]</w:t>
      </w:r>
      <w:r w:rsidRPr="004D5029">
        <w:rPr>
          <w:rFonts w:ascii="Calibri" w:hAnsi="Calibri" w:cs="Calibri"/>
          <w:noProof/>
          <w:szCs w:val="24"/>
        </w:rPr>
        <w:tab/>
        <w:t>Q.L. Loh, C. Choong, Three-dimensional scaffolds for tissue engineering applications: role of porosity and pore size, Tissue Eng. Part B. Rev. 19 (2013) 485–502. doi:10.1089/ten.TEB.2012.0437.</w:t>
      </w:r>
    </w:p>
    <w:p w14:paraId="66F93448"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[54]</w:t>
      </w:r>
      <w:r w:rsidRPr="004D5029">
        <w:rPr>
          <w:rFonts w:ascii="Calibri" w:hAnsi="Calibri" w:cs="Calibri"/>
          <w:noProof/>
          <w:szCs w:val="24"/>
        </w:rPr>
        <w:tab/>
        <w:t>N. Kavanagh, E.J. Ryan, A. Widaa, G. Sexton, J. Fennell, S. O’Rourk, K.C. Cahill, C.J. Kearney, F.J. O’Brien, S.W. Kerrigan, Staphylococcal osteomyelitis: Disease progression, treatment challenges, and future directions, Clin. Microbiol. Rev. 31 (2018) 1–25.</w:t>
      </w:r>
    </w:p>
    <w:p w14:paraId="01579A82"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[55]</w:t>
      </w:r>
      <w:r w:rsidRPr="004D5029">
        <w:rPr>
          <w:rFonts w:ascii="Calibri" w:hAnsi="Calibri" w:cs="Calibri"/>
          <w:noProof/>
          <w:szCs w:val="24"/>
        </w:rPr>
        <w:tab/>
        <w:t>Tribute Pharmaceuticals Canada Inc., Collatamp G - Orthopaedic Applications, (2018). https://collatampg.ca/Healthcare_Professionals/Orthopaedic_Applications/en (accessed February 15, 2018).</w:t>
      </w:r>
    </w:p>
    <w:p w14:paraId="18CF135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[56]</w:t>
      </w:r>
      <w:r w:rsidRPr="004D5029">
        <w:rPr>
          <w:rFonts w:ascii="Calibri" w:hAnsi="Calibri" w:cs="Calibri"/>
          <w:noProof/>
          <w:szCs w:val="24"/>
        </w:rPr>
        <w:tab/>
        <w:t>Biomet, Septocoll E, (2018). http://nl.biomet.be/viewversion.cfm?contentversionid=16834&amp;sc=1 (accessed February 15, 2018).</w:t>
      </w:r>
    </w:p>
    <w:p w14:paraId="5B26C215"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[57]</w:t>
      </w:r>
      <w:r w:rsidRPr="004D5029">
        <w:rPr>
          <w:rFonts w:ascii="Calibri" w:hAnsi="Calibri" w:cs="Calibri"/>
          <w:noProof/>
          <w:szCs w:val="24"/>
        </w:rPr>
        <w:tab/>
        <w:t>N. Duewelhenke, O. Krut, P. Eysel, Influence on mitochondria and cytotoxicity of different antibiotics administered in high concentrations on primary human osteoblasts and cell lines, Antimicrob. Agents Chemother. 51 (2007) 54–63. doi:10.1128/AAC.00729-05.</w:t>
      </w:r>
    </w:p>
    <w:p w14:paraId="78F0892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lastRenderedPageBreak/>
        <w:t>[58]</w:t>
      </w:r>
      <w:r w:rsidRPr="004D5029">
        <w:rPr>
          <w:rFonts w:ascii="Calibri" w:hAnsi="Calibri" w:cs="Calibri"/>
          <w:noProof/>
          <w:szCs w:val="24"/>
        </w:rPr>
        <w:tab/>
        <w:t>P. Corneal, E. Cells, C. Chang, C. Lin, M. Tsai, Using MTT viability assay to test the cytotoxicity of antibiotics and steroid to cultured porcine corneal endothelial cells, J. Ocul. Pharmacol. 12 (1996).</w:t>
      </w:r>
    </w:p>
    <w:p w14:paraId="3ECAF73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[59]</w:t>
      </w:r>
      <w:r w:rsidRPr="004D5029">
        <w:rPr>
          <w:rFonts w:ascii="Calibri" w:hAnsi="Calibri" w:cs="Calibri"/>
          <w:noProof/>
          <w:szCs w:val="24"/>
        </w:rPr>
        <w:tab/>
        <w:t>M.B. Ferreira, S. Myiagi, C.G. Nogales, M.S. Campos, J.L. Lage-Marques, Time- and concentration-dependent cytotoxicity of antibiotics used in endodontic therapy., J. Appl. Oral Sci. 18 (2010) 259–63. doi:10.1590/S1678-77572010000300011.</w:t>
      </w:r>
    </w:p>
    <w:p w14:paraId="0B7A9C4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[60]</w:t>
      </w:r>
      <w:r w:rsidRPr="004D5029">
        <w:rPr>
          <w:rFonts w:ascii="Calibri" w:hAnsi="Calibri" w:cs="Calibri"/>
          <w:noProof/>
          <w:szCs w:val="24"/>
        </w:rPr>
        <w:tab/>
        <w:t>O. Damour, S. Zhi Hua, F. Lasne, M. Villain, P. Rousselle, C. Collombel, Cytotoxicity evaluation of antiseptics and antibiotics on cultured human fibroblasts and keratinocytes, Burns. 18 (1992) 479–485. doi:10.1016/0305-4179(92)90180-3.</w:t>
      </w:r>
    </w:p>
    <w:p w14:paraId="79C9F21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[61]</w:t>
      </w:r>
      <w:r w:rsidRPr="004D5029">
        <w:rPr>
          <w:rFonts w:ascii="Calibri" w:hAnsi="Calibri" w:cs="Calibri"/>
          <w:noProof/>
          <w:szCs w:val="24"/>
        </w:rPr>
        <w:tab/>
        <w:t>R.G. Contreras, J.R.S. Vilchis, H. Sakagami, Y. Nakamura, Y. Nakamura, Y. Hibino, H. Nakajima, J. Shimada, Type of cell death induced by seven metals in cultured mouse osteoblastic cells, In Vivo (Brooklyn). 24 (2010) 507–512. doi:24/4/507 [pii].</w:t>
      </w:r>
    </w:p>
    <w:p w14:paraId="5359FD5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[62]</w:t>
      </w:r>
      <w:r w:rsidRPr="004D5029">
        <w:rPr>
          <w:rFonts w:ascii="Calibri" w:hAnsi="Calibri" w:cs="Calibri"/>
          <w:noProof/>
          <w:szCs w:val="24"/>
        </w:rPr>
        <w:tab/>
        <w:t>J. Chen, L. Zeng, X. Chen, T. Liao, J. Zheng, Preparation and characterization of bioactive glass tablets and evaluation of bioactivity and cytotoxicity in vitro, Bioact. Mater. 3 (2017) 315–321. doi:10.1016/j.bioactmat.2017.11.004.</w:t>
      </w:r>
    </w:p>
    <w:p w14:paraId="3E59562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[63]</w:t>
      </w:r>
      <w:r w:rsidRPr="004D5029">
        <w:rPr>
          <w:rFonts w:ascii="Calibri" w:hAnsi="Calibri" w:cs="Calibri"/>
          <w:noProof/>
          <w:szCs w:val="24"/>
        </w:rPr>
        <w:tab/>
        <w:t>D.M. Escobar-Sierra, J.S. Posada-Carvajal, D.L. Atehortúa-Soto, Fabrication of chitosan/bioactive glass composite scaffolds for medical applications, Rev. Tec. La Fac. Ing. Univ. Del Zulia. 40 (2017) 30–36. doi:10.17533/udea.redin.n80a05.</w:t>
      </w:r>
    </w:p>
    <w:p w14:paraId="044B5564"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[64]</w:t>
      </w:r>
      <w:r w:rsidRPr="004D5029">
        <w:rPr>
          <w:rFonts w:ascii="Calibri" w:hAnsi="Calibri" w:cs="Calibri"/>
          <w:noProof/>
          <w:szCs w:val="24"/>
        </w:rPr>
        <w:tab/>
        <w:t>J.P. Gleeson, F.J. O’Brien, Composite scaffolds for orthopaedic regenerative medicine, Adv. Compos. Mater. Med. Nanotechnol. (2011) 33–58. http://cdn.intechweb.org/pdfs/14118.pdf.</w:t>
      </w:r>
    </w:p>
    <w:p w14:paraId="59177F6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[65]</w:t>
      </w:r>
      <w:r w:rsidRPr="004D5029">
        <w:rPr>
          <w:rFonts w:ascii="Calibri" w:hAnsi="Calibri" w:cs="Calibri"/>
          <w:noProof/>
          <w:szCs w:val="24"/>
        </w:rPr>
        <w:tab/>
        <w:t>K. Rezwan, Q.Z. Chen, J.J. Blaker, A. Roberto, Biodegradable and bioactive porous polymer / inorganic composite scaffolds for bone tissue engineering, 27 (2006) 3413–3431. doi:10.1016/j.biomaterials.2006.01.039.</w:t>
      </w:r>
    </w:p>
    <w:p w14:paraId="75801E82"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[66]</w:t>
      </w:r>
      <w:r w:rsidRPr="004D5029">
        <w:rPr>
          <w:rFonts w:ascii="Calibri" w:hAnsi="Calibri" w:cs="Calibri"/>
          <w:noProof/>
          <w:szCs w:val="24"/>
        </w:rPr>
        <w:tab/>
        <w:t>E. Quinlan, M. Azevedo, F.J. O’Brien, Hypoxia-mimicking bioactive glass / collagen glycosaminoglycan composite scaffolds to enhance angiogenesis and bone repair, Biomaterials. 52 (2015) 358–366. doi:10.1016/j.biomaterials.2015.02.006.</w:t>
      </w:r>
    </w:p>
    <w:p w14:paraId="4F1F5DF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[67]</w:t>
      </w:r>
      <w:r w:rsidRPr="004D5029">
        <w:rPr>
          <w:rFonts w:ascii="Calibri" w:hAnsi="Calibri" w:cs="Calibri"/>
          <w:noProof/>
          <w:szCs w:val="24"/>
        </w:rPr>
        <w:tab/>
        <w:t>A.J. Engler, S. Sen, H.L. Sweeney, D.E. Discher, Matrix elasticity directs stem cell lineage specification, Cell. 126 (2006) 677–689. doi:10.1016/j.cell.2006.06.044.</w:t>
      </w:r>
    </w:p>
    <w:p w14:paraId="016550A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[68]</w:t>
      </w:r>
      <w:r w:rsidRPr="004D5029">
        <w:rPr>
          <w:rFonts w:ascii="Calibri" w:hAnsi="Calibri" w:cs="Calibri"/>
          <w:noProof/>
          <w:szCs w:val="24"/>
        </w:rPr>
        <w:tab/>
        <w:t>L.-C. Gerhardt, A.R. Boccaccini, Bioactive glass and glass-ceramic scaffolds for bone tissue engineering, Materials (Basel). 3 (2010) 3867–3910. doi:10.3390/ma3073867.</w:t>
      </w:r>
    </w:p>
    <w:p w14:paraId="26D41B25"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[69]</w:t>
      </w:r>
      <w:r w:rsidRPr="004D5029">
        <w:rPr>
          <w:rFonts w:ascii="Calibri" w:hAnsi="Calibri" w:cs="Calibri"/>
          <w:noProof/>
          <w:szCs w:val="24"/>
        </w:rPr>
        <w:tab/>
        <w:t>L.L. Hench, Bioceramics, J. Am. Ceram. Soc. 81 (1998) 1705–1728. doi:10.1111/j.1151-2916.1998.tb02540.x.</w:t>
      </w:r>
    </w:p>
    <w:p w14:paraId="32221350"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[70]</w:t>
      </w:r>
      <w:r w:rsidRPr="004D5029">
        <w:rPr>
          <w:rFonts w:ascii="Calibri" w:hAnsi="Calibri" w:cs="Calibri"/>
          <w:noProof/>
          <w:szCs w:val="24"/>
        </w:rPr>
        <w:tab/>
        <w:t>H. Wang, S. Zhao, J. Zhou, Y. Shen, W. Huang, C. Zhang, M.N. Rahaman, D. Wang, Evaluation of borate bioactive glass scaffolds as a controlled delivery system for copper ions in stimulating osteogenesis and angiogenesis in bone healing, J. Mater. Chem. B. 2 (2014) 8547–8557. doi:10.1039/c4tb01355g.</w:t>
      </w:r>
    </w:p>
    <w:p w14:paraId="604BC43B"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[71]</w:t>
      </w:r>
      <w:r w:rsidRPr="004D5029">
        <w:rPr>
          <w:rFonts w:ascii="Calibri" w:hAnsi="Calibri" w:cs="Calibri"/>
          <w:noProof/>
          <w:szCs w:val="24"/>
        </w:rPr>
        <w:tab/>
        <w:t>Y. Lin, W. Xiao, B.S. Bal, M.N. Rahaman, Effect of copper-doped silicate 13-93 bioactive glass scaffolds on the response of MC3T3-E1 cells in vitro and on bone regeneration and angiogenesis in rat calvarial defects in vivo, Mater. Sci. Eng. C. 67 (2016) 440–452. doi:10.1016/j.msec.2016.05.073.</w:t>
      </w:r>
    </w:p>
    <w:p w14:paraId="55B3FDA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[72]</w:t>
      </w:r>
      <w:r w:rsidRPr="004D5029">
        <w:rPr>
          <w:rFonts w:ascii="Calibri" w:hAnsi="Calibri" w:cs="Calibri"/>
          <w:noProof/>
          <w:szCs w:val="24"/>
        </w:rPr>
        <w:tab/>
        <w:t>S. Zhao, H. Wang, Y. Zhang, W. Huang, M.N. Rahaman, Z. Liu, D. Wang, C. Zhang, Copper-doped borosilicate bioactive glass scaffolds with improved angiogenic and osteogenic capacity for repairing osseous defects., Acta Biomater. 14 (2015) 185–96. doi:10.1016/j.actbio.2014.12.010.</w:t>
      </w:r>
    </w:p>
    <w:p w14:paraId="7517260A"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[73]</w:t>
      </w:r>
      <w:r w:rsidRPr="004D5029">
        <w:rPr>
          <w:rFonts w:ascii="Calibri" w:hAnsi="Calibri" w:cs="Calibri"/>
          <w:noProof/>
          <w:szCs w:val="24"/>
        </w:rPr>
        <w:tab/>
        <w:t>W.G. Chang, L.E. Niklason, A short discourse on vascular tissue engineering, Npj Regen. Med. 2 (2017) 1–7. doi:10.1038/s41536-017-0011-6.</w:t>
      </w:r>
    </w:p>
    <w:p w14:paraId="141B522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[74]</w:t>
      </w:r>
      <w:r w:rsidRPr="004D5029">
        <w:rPr>
          <w:rFonts w:ascii="Calibri" w:hAnsi="Calibri" w:cs="Calibri"/>
          <w:noProof/>
          <w:szCs w:val="24"/>
        </w:rPr>
        <w:tab/>
        <w:t>E.C. Novosel, C. Kleinhans, P.J. Kluger, Vascularization is the key challenge in tissue engineering, Adv. Drug Deliv. Rev. 63 (2011) 300–311. doi:10.1016/j.addr.2011.03.004.</w:t>
      </w:r>
    </w:p>
    <w:p w14:paraId="772C94FC"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[75]</w:t>
      </w:r>
      <w:r w:rsidRPr="004D5029">
        <w:rPr>
          <w:rFonts w:ascii="Calibri" w:hAnsi="Calibri" w:cs="Calibri"/>
          <w:noProof/>
          <w:szCs w:val="24"/>
        </w:rPr>
        <w:tab/>
        <w:t xml:space="preserve">H.C.H. Ko, B.K. Milthorpe, C.D. McFarland, Engineering thick tissues - The </w:t>
      </w:r>
      <w:r w:rsidRPr="004D5029">
        <w:rPr>
          <w:rFonts w:ascii="Calibri" w:hAnsi="Calibri" w:cs="Calibri"/>
          <w:noProof/>
          <w:szCs w:val="24"/>
        </w:rPr>
        <w:lastRenderedPageBreak/>
        <w:t>vascularisation problem, Eur. Cells Mater. 14 (2007) 1–18. doi:10.22203/eCM.v014a01.</w:t>
      </w:r>
    </w:p>
    <w:p w14:paraId="045C856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[76]</w:t>
      </w:r>
      <w:r w:rsidRPr="004D5029">
        <w:rPr>
          <w:rFonts w:ascii="Calibri" w:hAnsi="Calibri" w:cs="Calibri"/>
          <w:noProof/>
          <w:szCs w:val="24"/>
        </w:rPr>
        <w:tab/>
        <w:t>J. Barralet, U. Gbureck, P. Habibovic, E. Vorndran, C. Gerard, C.J. Doillon, Angiogenesis in Calcium Phosphate Scaffolds by Inorganic Copper Ion Release, Tissue Eng. Part A. 15 (2009) 1601–1609. doi:10.1089/ten.tea.2007.0370.</w:t>
      </w:r>
    </w:p>
    <w:p w14:paraId="6C77866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[77]</w:t>
      </w:r>
      <w:r w:rsidRPr="004D5029">
        <w:rPr>
          <w:rFonts w:ascii="Calibri" w:hAnsi="Calibri" w:cs="Calibri"/>
          <w:noProof/>
          <w:szCs w:val="24"/>
        </w:rPr>
        <w:tab/>
        <w:t>U.A. Gurkan, J. Gargac, O. Akkus, The sequential production profiles of growth factors and their relations to bone volume in ossifying bone marrow explants., Tissue Eng. Part A. 16 (2010) 2295–306. doi:10.1089/ten.TEA.2009.0565.</w:t>
      </w:r>
    </w:p>
    <w:p w14:paraId="406D1003"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[78]</w:t>
      </w:r>
      <w:r w:rsidRPr="004D5029">
        <w:rPr>
          <w:rFonts w:ascii="Calibri" w:hAnsi="Calibri" w:cs="Calibri"/>
          <w:noProof/>
          <w:szCs w:val="24"/>
        </w:rPr>
        <w:tab/>
        <w:t>R.M. Raftery, I. Mencía Castaño, G. Chen, B. Cavanagh, B. Quinn, C.M. Curtin, S.A. Cryan, F.J. O’Brien, Translating the role of osteogenic-angiogenic coupling in bone formation: Highly efficient chitosan-pDNA activated scaffolds can accelerate bone regeneration in critical-sized bone defects, Biomaterials. 149 (2017) 116–127. doi:10.1016/j.biomaterials.2017.09.036.</w:t>
      </w:r>
    </w:p>
    <w:p w14:paraId="330C2C37"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[79]</w:t>
      </w:r>
      <w:r w:rsidRPr="004D5029">
        <w:rPr>
          <w:rFonts w:ascii="Calibri" w:hAnsi="Calibri" w:cs="Calibri"/>
          <w:noProof/>
          <w:szCs w:val="24"/>
        </w:rPr>
        <w:tab/>
        <w:t>S. Li, H. Xie, S. Li, Y.J. Kang, Copper stimulates growth of human umbilical vein endothelial cells in a vascular endothelial growth factor-independent pathway, Exp. Biol. Med. (Maywood). 237 (2012) 77–82. doi:10.1258/ebm.2011.011267.</w:t>
      </w:r>
    </w:p>
    <w:p w14:paraId="75090DB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[80]</w:t>
      </w:r>
      <w:r w:rsidRPr="004D5029">
        <w:rPr>
          <w:rFonts w:ascii="Calibri" w:hAnsi="Calibri" w:cs="Calibri"/>
          <w:noProof/>
          <w:szCs w:val="24"/>
        </w:rPr>
        <w:tab/>
        <w:t>G.F. Hu, Copper stimulates proliferation of human endothelial cells under culture, J. Cell. Biochem. 69 (1998) 326–335. doi:10.1002/(SICI)1097-4644(19980601)69:3&lt;326::AID-JCB10&gt;3.0.CO;2-A.</w:t>
      </w:r>
    </w:p>
    <w:p w14:paraId="77615B6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[81]</w:t>
      </w:r>
      <w:r w:rsidRPr="004D5029">
        <w:rPr>
          <w:rFonts w:ascii="Calibri" w:hAnsi="Calibri" w:cs="Calibri"/>
          <w:noProof/>
          <w:szCs w:val="24"/>
        </w:rPr>
        <w:tab/>
        <w:t>C. Gérard, L.J. Bordeleau, J. Barralet, C.J. Doillon, The stimulation of angiogenesis and collagen deposition by copper, Biomaterials. 31 (2010) 824–831. doi:10.1016/j.biomaterials.2009.10.009.</w:t>
      </w:r>
    </w:p>
    <w:p w14:paraId="6CFDA5AF"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[82]</w:t>
      </w:r>
      <w:r w:rsidRPr="004D5029">
        <w:rPr>
          <w:rFonts w:ascii="Calibri" w:hAnsi="Calibri" w:cs="Calibri"/>
          <w:noProof/>
          <w:szCs w:val="24"/>
        </w:rPr>
        <w:tab/>
        <w:t>C. Stähli, M. James-bhasin, A. Hoppe, A.R. Boccaccini, S.N. Nazhat, Effect of ion release from Cu-doped 45S5 Bioglass on 3D endothelial cell morphogenesis, 19 (2015) 15–22. doi:10.1016/j.actbio.2015.03.009.</w:t>
      </w:r>
    </w:p>
    <w:p w14:paraId="59CA2E39"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[83]</w:t>
      </w:r>
      <w:r w:rsidRPr="004D5029">
        <w:rPr>
          <w:rFonts w:ascii="Calibri" w:hAnsi="Calibri" w:cs="Calibri"/>
          <w:noProof/>
          <w:szCs w:val="24"/>
        </w:rPr>
        <w:tab/>
        <w:t>A.A. Gorustovich, G.E. Vargas, O. Bretcanu, R. Vera Mesones, J.M. Porto López, A.R. Boccaccini, Novel bioassay to evaluate biocompatibility of bioactive glass scaffolds for tissue engineering, Adv. Appl. Ceram. 107 (2008) 274–276. doi:10.1179/174367508X306541.</w:t>
      </w:r>
    </w:p>
    <w:p w14:paraId="3C5C2017"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[84]</w:t>
      </w:r>
      <w:r w:rsidRPr="004D5029">
        <w:rPr>
          <w:rFonts w:ascii="Calibri" w:hAnsi="Calibri" w:cs="Calibri"/>
          <w:noProof/>
          <w:szCs w:val="24"/>
        </w:rPr>
        <w:tab/>
        <w:t>M. Handel, T.R. Hammer, P. Nooeaid, A.R. Boccaccini, D. Hoefer, 45S5-Bioglass ® -based 3D-scaffolds seeded with human adipose tissue-derived stem cells induce in vivo vascularization in the CAM angiogenesis assay, Tissue Eng. Part A. 19 (2013) 2703–2712. doi:10.1089/ten.tea.2012.0707.</w:t>
      </w:r>
    </w:p>
    <w:p w14:paraId="3547F4F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[85]</w:t>
      </w:r>
      <w:r w:rsidRPr="004D5029">
        <w:rPr>
          <w:rFonts w:ascii="Calibri" w:hAnsi="Calibri" w:cs="Calibri"/>
          <w:noProof/>
          <w:szCs w:val="24"/>
        </w:rPr>
        <w:tab/>
        <w:t>L.A. Haro Durand, G.E. Vargas, N.M. Romero, R. Vera-Mesones, J.M. Porto-López, A.R. Boccaccini, M.P. Zago, A. Baldi, A. Gorustovich, Angiogenic effects of ionic dissolution products released from a boron-doped 45S5 bioactive glass, J. Mater. Chem. B. 3 (2015) 1142–1148. doi:10.1039/c4tb01840k.</w:t>
      </w:r>
    </w:p>
    <w:p w14:paraId="248D5CB5"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[86]</w:t>
      </w:r>
      <w:r w:rsidRPr="004D5029">
        <w:rPr>
          <w:rFonts w:ascii="Calibri" w:hAnsi="Calibri" w:cs="Calibri"/>
          <w:noProof/>
          <w:szCs w:val="24"/>
        </w:rPr>
        <w:tab/>
        <w:t>R. WMS, B. RL, The principles of humane experimental technique, Universities Federation for Animal Welfare, Wheathampstead (UK), 1959.</w:t>
      </w:r>
    </w:p>
    <w:p w14:paraId="5E2A4F56"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szCs w:val="24"/>
        </w:rPr>
      </w:pPr>
      <w:r w:rsidRPr="004D5029">
        <w:rPr>
          <w:rFonts w:ascii="Calibri" w:hAnsi="Calibri" w:cs="Calibri"/>
          <w:noProof/>
          <w:szCs w:val="24"/>
        </w:rPr>
        <w:t>[87]</w:t>
      </w:r>
      <w:r w:rsidRPr="004D5029">
        <w:rPr>
          <w:rFonts w:ascii="Calibri" w:hAnsi="Calibri" w:cs="Calibri"/>
          <w:noProof/>
          <w:szCs w:val="24"/>
        </w:rPr>
        <w:tab/>
        <w:t>V.A. Stadelmann, I. Potapova, K. Camenisch, D. Nehrbass, R.G. Richards, T.F. Moriarty, Y. Chang, In vivo MicroCT monitoring of osteomyelitis in a rat model, Biomed Res. Int. 2015 (2015). doi:10.1155/2015/587857.</w:t>
      </w:r>
    </w:p>
    <w:p w14:paraId="1832904E" w14:textId="77777777" w:rsidR="004D5029" w:rsidRPr="004D5029" w:rsidRDefault="004D5029" w:rsidP="004D5029">
      <w:pPr>
        <w:widowControl w:val="0"/>
        <w:autoSpaceDE w:val="0"/>
        <w:autoSpaceDN w:val="0"/>
        <w:adjustRightInd w:val="0"/>
        <w:spacing w:after="0" w:line="240" w:lineRule="auto"/>
        <w:ind w:left="640" w:hanging="640"/>
        <w:rPr>
          <w:rFonts w:ascii="Calibri" w:hAnsi="Calibri" w:cs="Calibri"/>
          <w:noProof/>
        </w:rPr>
      </w:pPr>
      <w:r w:rsidRPr="004D5029">
        <w:rPr>
          <w:rFonts w:ascii="Calibri" w:hAnsi="Calibri" w:cs="Calibri"/>
          <w:noProof/>
          <w:szCs w:val="24"/>
        </w:rPr>
        <w:t>[88]</w:t>
      </w:r>
      <w:r w:rsidRPr="004D5029">
        <w:rPr>
          <w:rFonts w:ascii="Calibri" w:hAnsi="Calibri" w:cs="Calibri"/>
          <w:noProof/>
          <w:szCs w:val="24"/>
        </w:rPr>
        <w:tab/>
        <w:t>D. Arens, M. Wilke, L. Calabro, S. Hackl, S. Zeiter, I. Zderic, R.G. Richards, T.F. Moriarty, A rabbit humerus model of plating and nailing osteosynthesis with and without Staphylococcus aureus osteomyelitis, Eur. Cells Mater. 30 (2015) 148–162. doi:10.22203/eCM.v030a11.</w:t>
      </w:r>
    </w:p>
    <w:p w14:paraId="390DADC9" w14:textId="455373B0" w:rsidR="003B6A48" w:rsidRPr="00D86888" w:rsidRDefault="003B6A48" w:rsidP="00C1776C">
      <w:pPr>
        <w:widowControl w:val="0"/>
        <w:autoSpaceDE w:val="0"/>
        <w:autoSpaceDN w:val="0"/>
        <w:adjustRightInd w:val="0"/>
        <w:spacing w:after="0" w:line="240" w:lineRule="auto"/>
        <w:ind w:left="640" w:hanging="640"/>
      </w:pPr>
      <w:r w:rsidRPr="00D86888">
        <w:fldChar w:fldCharType="end"/>
      </w:r>
    </w:p>
    <w:p w14:paraId="5CD0D215" w14:textId="77777777" w:rsidR="008579D0" w:rsidRPr="00D86888" w:rsidRDefault="008579D0" w:rsidP="00685F9C">
      <w:pPr>
        <w:spacing w:line="276" w:lineRule="auto"/>
      </w:pPr>
    </w:p>
    <w:p w14:paraId="52185634" w14:textId="77777777" w:rsidR="00FA66D8" w:rsidRPr="00D86888" w:rsidRDefault="00FA66D8" w:rsidP="00685F9C">
      <w:pPr>
        <w:spacing w:line="276" w:lineRule="auto"/>
      </w:pPr>
    </w:p>
    <w:sectPr w:rsidR="00FA66D8" w:rsidRPr="00D86888" w:rsidSect="00936452">
      <w:footerReference w:type="default" r:id="rId18"/>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AA6EC" w14:textId="77777777" w:rsidR="00E57A5E" w:rsidRDefault="00E57A5E" w:rsidP="00735EBD">
      <w:pPr>
        <w:spacing w:line="240" w:lineRule="auto"/>
      </w:pPr>
      <w:r>
        <w:separator/>
      </w:r>
    </w:p>
  </w:endnote>
  <w:endnote w:type="continuationSeparator" w:id="0">
    <w:p w14:paraId="06918BA2" w14:textId="77777777" w:rsidR="00E57A5E" w:rsidRDefault="00E57A5E" w:rsidP="00735E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10010"/>
      <w:docPartObj>
        <w:docPartGallery w:val="Page Numbers (Bottom of Page)"/>
        <w:docPartUnique/>
      </w:docPartObj>
    </w:sdtPr>
    <w:sdtEndPr>
      <w:rPr>
        <w:noProof/>
      </w:rPr>
    </w:sdtEndPr>
    <w:sdtContent>
      <w:p w14:paraId="607E394A" w14:textId="2574DE31" w:rsidR="002B2D7C" w:rsidRDefault="002B2D7C">
        <w:pPr>
          <w:pStyle w:val="Footer"/>
          <w:jc w:val="center"/>
        </w:pPr>
        <w:r>
          <w:fldChar w:fldCharType="begin"/>
        </w:r>
        <w:r>
          <w:instrText xml:space="preserve"> PAGE   \* MERGEFORMAT </w:instrText>
        </w:r>
        <w:r>
          <w:fldChar w:fldCharType="separate"/>
        </w:r>
        <w:r w:rsidR="0070693B">
          <w:rPr>
            <w:noProof/>
          </w:rPr>
          <w:t>1</w:t>
        </w:r>
        <w:r>
          <w:rPr>
            <w:noProof/>
          </w:rPr>
          <w:fldChar w:fldCharType="end"/>
        </w:r>
      </w:p>
    </w:sdtContent>
  </w:sdt>
  <w:p w14:paraId="6568ABB7" w14:textId="77777777" w:rsidR="002B2D7C" w:rsidRDefault="002B2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1262C" w14:textId="77777777" w:rsidR="00E57A5E" w:rsidRDefault="00E57A5E" w:rsidP="00735EBD">
      <w:pPr>
        <w:spacing w:line="240" w:lineRule="auto"/>
      </w:pPr>
      <w:r>
        <w:separator/>
      </w:r>
    </w:p>
  </w:footnote>
  <w:footnote w:type="continuationSeparator" w:id="0">
    <w:p w14:paraId="170A6F43" w14:textId="77777777" w:rsidR="00E57A5E" w:rsidRDefault="00E57A5E" w:rsidP="00735E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709"/>
    <w:multiLevelType w:val="hybridMultilevel"/>
    <w:tmpl w:val="FD449F5E"/>
    <w:lvl w:ilvl="0" w:tplc="7A78C9E0">
      <w:start w:val="4"/>
      <w:numFmt w:val="decimal"/>
      <w:pStyle w:val="Heading1"/>
      <w:lvlText w:val="Chapter %1"/>
      <w:lvlJc w:val="left"/>
      <w:pPr>
        <w:ind w:left="360" w:hanging="360"/>
      </w:pPr>
      <w:rPr>
        <w:rFonts w:hint="default"/>
        <w:b/>
        <w:i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stylisticSets/>
        <w14:cntxtAlts w14: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2E11B60"/>
    <w:multiLevelType w:val="multilevel"/>
    <w:tmpl w:val="A7B0B2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0D4186"/>
    <w:multiLevelType w:val="hybridMultilevel"/>
    <w:tmpl w:val="EB0CE2FC"/>
    <w:lvl w:ilvl="0" w:tplc="1809000F">
      <w:start w:val="1"/>
      <w:numFmt w:val="decimal"/>
      <w:lvlText w:val="%1."/>
      <w:lvlJc w:val="left"/>
      <w:pPr>
        <w:ind w:left="397" w:hanging="397"/>
      </w:pPr>
      <w:rPr>
        <w:rFont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467A73"/>
    <w:multiLevelType w:val="multilevel"/>
    <w:tmpl w:val="9ED03E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C8039F6"/>
    <w:multiLevelType w:val="hybridMultilevel"/>
    <w:tmpl w:val="093A7B1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1BF76EB"/>
    <w:multiLevelType w:val="multilevel"/>
    <w:tmpl w:val="9918950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20D12"/>
    <w:multiLevelType w:val="hybridMultilevel"/>
    <w:tmpl w:val="615C82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9D05191"/>
    <w:multiLevelType w:val="hybridMultilevel"/>
    <w:tmpl w:val="F2A43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CC70A9C"/>
    <w:multiLevelType w:val="hybridMultilevel"/>
    <w:tmpl w:val="4AE491E0"/>
    <w:lvl w:ilvl="0" w:tplc="9AE0035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646631"/>
    <w:multiLevelType w:val="multilevel"/>
    <w:tmpl w:val="76D2E748"/>
    <w:lvl w:ilvl="0">
      <w:start w:val="1"/>
      <w:numFmt w:val="decimal"/>
      <w:pStyle w:val="Heading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5FD3C7F"/>
    <w:multiLevelType w:val="hybridMultilevel"/>
    <w:tmpl w:val="0C5ED8EA"/>
    <w:lvl w:ilvl="0" w:tplc="18090001">
      <w:start w:val="1"/>
      <w:numFmt w:val="bullet"/>
      <w:lvlText w:val=""/>
      <w:lvlJc w:val="left"/>
      <w:pPr>
        <w:ind w:left="397" w:hanging="397"/>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B1F2D65"/>
    <w:multiLevelType w:val="hybridMultilevel"/>
    <w:tmpl w:val="796A696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7C27DF0"/>
    <w:multiLevelType w:val="hybridMultilevel"/>
    <w:tmpl w:val="35402858"/>
    <w:lvl w:ilvl="0" w:tplc="6792A23A">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AC62D3F"/>
    <w:multiLevelType w:val="hybridMultilevel"/>
    <w:tmpl w:val="9E885DAC"/>
    <w:lvl w:ilvl="0" w:tplc="367ED41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0AF704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6D37442"/>
    <w:multiLevelType w:val="hybridMultilevel"/>
    <w:tmpl w:val="84D2FA44"/>
    <w:lvl w:ilvl="0" w:tplc="9DCADAF4">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7DB78D8"/>
    <w:multiLevelType w:val="hybridMultilevel"/>
    <w:tmpl w:val="FA52AF4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9EF442F"/>
    <w:multiLevelType w:val="hybridMultilevel"/>
    <w:tmpl w:val="C83AEA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A5C289D"/>
    <w:multiLevelType w:val="hybridMultilevel"/>
    <w:tmpl w:val="7DD01742"/>
    <w:lvl w:ilvl="0" w:tplc="29864E62">
      <w:start w:val="1"/>
      <w:numFmt w:val="decimal"/>
      <w:lvlText w:val="%1."/>
      <w:lvlJc w:val="left"/>
      <w:pPr>
        <w:ind w:left="720" w:hanging="360"/>
      </w:pPr>
    </w:lvl>
    <w:lvl w:ilvl="1" w:tplc="85D496A8" w:tentative="1">
      <w:start w:val="1"/>
      <w:numFmt w:val="lowerLetter"/>
      <w:lvlText w:val="%2."/>
      <w:lvlJc w:val="left"/>
      <w:pPr>
        <w:ind w:left="1440" w:hanging="360"/>
      </w:pPr>
    </w:lvl>
    <w:lvl w:ilvl="2" w:tplc="3306CD6C" w:tentative="1">
      <w:start w:val="1"/>
      <w:numFmt w:val="lowerRoman"/>
      <w:lvlText w:val="%3."/>
      <w:lvlJc w:val="right"/>
      <w:pPr>
        <w:ind w:left="2160" w:hanging="180"/>
      </w:pPr>
    </w:lvl>
    <w:lvl w:ilvl="3" w:tplc="23EA1382" w:tentative="1">
      <w:start w:val="1"/>
      <w:numFmt w:val="decimal"/>
      <w:lvlText w:val="%4."/>
      <w:lvlJc w:val="left"/>
      <w:pPr>
        <w:ind w:left="2880" w:hanging="360"/>
      </w:pPr>
    </w:lvl>
    <w:lvl w:ilvl="4" w:tplc="AEBC13BA" w:tentative="1">
      <w:start w:val="1"/>
      <w:numFmt w:val="lowerLetter"/>
      <w:lvlText w:val="%5."/>
      <w:lvlJc w:val="left"/>
      <w:pPr>
        <w:ind w:left="3600" w:hanging="360"/>
      </w:pPr>
    </w:lvl>
    <w:lvl w:ilvl="5" w:tplc="1460F17E" w:tentative="1">
      <w:start w:val="1"/>
      <w:numFmt w:val="lowerRoman"/>
      <w:lvlText w:val="%6."/>
      <w:lvlJc w:val="right"/>
      <w:pPr>
        <w:ind w:left="4320" w:hanging="180"/>
      </w:pPr>
    </w:lvl>
    <w:lvl w:ilvl="6" w:tplc="334C42DE" w:tentative="1">
      <w:start w:val="1"/>
      <w:numFmt w:val="decimal"/>
      <w:lvlText w:val="%7."/>
      <w:lvlJc w:val="left"/>
      <w:pPr>
        <w:ind w:left="5040" w:hanging="360"/>
      </w:pPr>
    </w:lvl>
    <w:lvl w:ilvl="7" w:tplc="C734955E" w:tentative="1">
      <w:start w:val="1"/>
      <w:numFmt w:val="lowerLetter"/>
      <w:lvlText w:val="%8."/>
      <w:lvlJc w:val="left"/>
      <w:pPr>
        <w:ind w:left="5760" w:hanging="360"/>
      </w:pPr>
    </w:lvl>
    <w:lvl w:ilvl="8" w:tplc="A19EA486" w:tentative="1">
      <w:start w:val="1"/>
      <w:numFmt w:val="lowerRoman"/>
      <w:lvlText w:val="%9."/>
      <w:lvlJc w:val="right"/>
      <w:pPr>
        <w:ind w:left="6480" w:hanging="180"/>
      </w:pPr>
    </w:lvl>
  </w:abstractNum>
  <w:abstractNum w:abstractNumId="19" w15:restartNumberingAfterBreak="0">
    <w:nsid w:val="716E545A"/>
    <w:multiLevelType w:val="hybridMultilevel"/>
    <w:tmpl w:val="EB4A192E"/>
    <w:lvl w:ilvl="0" w:tplc="D2128FB0">
      <w:start w:val="1"/>
      <w:numFmt w:val="upp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A770C75"/>
    <w:multiLevelType w:val="hybridMultilevel"/>
    <w:tmpl w:val="DAB28F12"/>
    <w:lvl w:ilvl="0" w:tplc="B284FB50">
      <w:start w:val="1"/>
      <w:numFmt w:val="upp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6A3AA8"/>
    <w:multiLevelType w:val="hybridMultilevel"/>
    <w:tmpl w:val="239C941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FB10308"/>
    <w:multiLevelType w:val="multilevel"/>
    <w:tmpl w:val="1809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num>
  <w:num w:numId="3">
    <w:abstractNumId w:val="18"/>
  </w:num>
  <w:num w:numId="4">
    <w:abstractNumId w:val="8"/>
  </w:num>
  <w:num w:numId="5">
    <w:abstractNumId w:val="5"/>
  </w:num>
  <w:num w:numId="6">
    <w:abstractNumId w:val="5"/>
  </w:num>
  <w:num w:numId="7">
    <w:abstractNumId w:val="18"/>
  </w:num>
  <w:num w:numId="8">
    <w:abstractNumId w:val="8"/>
  </w:num>
  <w:num w:numId="9">
    <w:abstractNumId w:val="2"/>
  </w:num>
  <w:num w:numId="10">
    <w:abstractNumId w:val="6"/>
  </w:num>
  <w:num w:numId="11">
    <w:abstractNumId w:val="10"/>
  </w:num>
  <w:num w:numId="12">
    <w:abstractNumId w:val="5"/>
  </w:num>
  <w:num w:numId="13">
    <w:abstractNumId w:val="5"/>
  </w:num>
  <w:num w:numId="14">
    <w:abstractNumId w:val="11"/>
  </w:num>
  <w:num w:numId="15">
    <w:abstractNumId w:val="16"/>
  </w:num>
  <w:num w:numId="16">
    <w:abstractNumId w:val="0"/>
  </w:num>
  <w:num w:numId="17">
    <w:abstractNumId w:val="13"/>
  </w:num>
  <w:num w:numId="18">
    <w:abstractNumId w:val="4"/>
  </w:num>
  <w:num w:numId="19">
    <w:abstractNumId w:val="21"/>
  </w:num>
  <w:num w:numId="20">
    <w:abstractNumId w:val="22"/>
  </w:num>
  <w:num w:numId="21">
    <w:abstractNumId w:val="1"/>
  </w:num>
  <w:num w:numId="22">
    <w:abstractNumId w:val="17"/>
  </w:num>
  <w:num w:numId="23">
    <w:abstractNumId w:val="9"/>
  </w:num>
  <w:num w:numId="24">
    <w:abstractNumId w:val="3"/>
  </w:num>
  <w:num w:numId="25">
    <w:abstractNumId w:val="19"/>
  </w:num>
  <w:num w:numId="26">
    <w:abstractNumId w:val="20"/>
  </w:num>
  <w:num w:numId="27">
    <w:abstractNumId w:val="12"/>
  </w:num>
  <w:num w:numId="28">
    <w:abstractNumId w:val="14"/>
  </w:num>
  <w:num w:numId="29">
    <w:abstractNumId w:val="9"/>
  </w:num>
  <w:num w:numId="30">
    <w:abstractNumId w:val="9"/>
  </w:num>
  <w:num w:numId="31">
    <w:abstractNumId w:val="9"/>
  </w:num>
  <w:num w:numId="32">
    <w:abstractNumId w:val="9"/>
  </w:num>
  <w:num w:numId="33">
    <w:abstractNumId w:val="7"/>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MjY3MjczMgBSRko6SsGpxcWZ+XkgBUYGtQBaDpLpLQAAAA=="/>
  </w:docVars>
  <w:rsids>
    <w:rsidRoot w:val="00064AA6"/>
    <w:rsid w:val="00000E06"/>
    <w:rsid w:val="000011F7"/>
    <w:rsid w:val="00003273"/>
    <w:rsid w:val="000032C4"/>
    <w:rsid w:val="000101F6"/>
    <w:rsid w:val="00020934"/>
    <w:rsid w:val="00020AAD"/>
    <w:rsid w:val="000214DB"/>
    <w:rsid w:val="00023FD9"/>
    <w:rsid w:val="00031761"/>
    <w:rsid w:val="000333B8"/>
    <w:rsid w:val="00044052"/>
    <w:rsid w:val="0005154C"/>
    <w:rsid w:val="00051B9D"/>
    <w:rsid w:val="00055C16"/>
    <w:rsid w:val="00064AA6"/>
    <w:rsid w:val="00080F32"/>
    <w:rsid w:val="00082D08"/>
    <w:rsid w:val="0008447B"/>
    <w:rsid w:val="0008741B"/>
    <w:rsid w:val="0009531A"/>
    <w:rsid w:val="00096EED"/>
    <w:rsid w:val="000A01DB"/>
    <w:rsid w:val="000A08A9"/>
    <w:rsid w:val="000A0E5E"/>
    <w:rsid w:val="000A5E66"/>
    <w:rsid w:val="000A7E9B"/>
    <w:rsid w:val="000B6667"/>
    <w:rsid w:val="000C0A23"/>
    <w:rsid w:val="000D1E35"/>
    <w:rsid w:val="000D390D"/>
    <w:rsid w:val="000E4D96"/>
    <w:rsid w:val="000F31A9"/>
    <w:rsid w:val="0010631E"/>
    <w:rsid w:val="00106E0D"/>
    <w:rsid w:val="00115B9B"/>
    <w:rsid w:val="00116B8A"/>
    <w:rsid w:val="0012783B"/>
    <w:rsid w:val="001321FE"/>
    <w:rsid w:val="00137FBD"/>
    <w:rsid w:val="00141435"/>
    <w:rsid w:val="00143528"/>
    <w:rsid w:val="00145FD3"/>
    <w:rsid w:val="0014723A"/>
    <w:rsid w:val="00153342"/>
    <w:rsid w:val="001540C1"/>
    <w:rsid w:val="001700D7"/>
    <w:rsid w:val="001747F8"/>
    <w:rsid w:val="001761FA"/>
    <w:rsid w:val="00176EF4"/>
    <w:rsid w:val="001803B1"/>
    <w:rsid w:val="001903E6"/>
    <w:rsid w:val="001927A3"/>
    <w:rsid w:val="00192C7A"/>
    <w:rsid w:val="001A1AE9"/>
    <w:rsid w:val="001A609A"/>
    <w:rsid w:val="001A6212"/>
    <w:rsid w:val="001A7C4F"/>
    <w:rsid w:val="001A7F85"/>
    <w:rsid w:val="001B0836"/>
    <w:rsid w:val="001B4ECA"/>
    <w:rsid w:val="001C3AA5"/>
    <w:rsid w:val="001D2E64"/>
    <w:rsid w:val="001D3E5C"/>
    <w:rsid w:val="001E0381"/>
    <w:rsid w:val="001E0E77"/>
    <w:rsid w:val="001E476A"/>
    <w:rsid w:val="001E4D5F"/>
    <w:rsid w:val="001E528A"/>
    <w:rsid w:val="001E7688"/>
    <w:rsid w:val="001F2323"/>
    <w:rsid w:val="001F2343"/>
    <w:rsid w:val="00212645"/>
    <w:rsid w:val="002151D7"/>
    <w:rsid w:val="00217DEB"/>
    <w:rsid w:val="0022736C"/>
    <w:rsid w:val="00231A9B"/>
    <w:rsid w:val="00242DFB"/>
    <w:rsid w:val="00244A3C"/>
    <w:rsid w:val="00245F3E"/>
    <w:rsid w:val="0025138E"/>
    <w:rsid w:val="0026112D"/>
    <w:rsid w:val="00267A0B"/>
    <w:rsid w:val="002730A8"/>
    <w:rsid w:val="0027643F"/>
    <w:rsid w:val="0027659D"/>
    <w:rsid w:val="002868BF"/>
    <w:rsid w:val="00294130"/>
    <w:rsid w:val="002945D1"/>
    <w:rsid w:val="0029641D"/>
    <w:rsid w:val="002A1A4B"/>
    <w:rsid w:val="002A4B6B"/>
    <w:rsid w:val="002A67B3"/>
    <w:rsid w:val="002B2D7C"/>
    <w:rsid w:val="002B3780"/>
    <w:rsid w:val="002B50F1"/>
    <w:rsid w:val="002C4390"/>
    <w:rsid w:val="002D2B14"/>
    <w:rsid w:val="002D7CD2"/>
    <w:rsid w:val="002E2467"/>
    <w:rsid w:val="002E416A"/>
    <w:rsid w:val="002F03DD"/>
    <w:rsid w:val="002F0F84"/>
    <w:rsid w:val="002F1D24"/>
    <w:rsid w:val="002F1D66"/>
    <w:rsid w:val="002F2FC5"/>
    <w:rsid w:val="002F3EBE"/>
    <w:rsid w:val="002F59BE"/>
    <w:rsid w:val="002F5C61"/>
    <w:rsid w:val="00303E01"/>
    <w:rsid w:val="003074FB"/>
    <w:rsid w:val="00316443"/>
    <w:rsid w:val="00317615"/>
    <w:rsid w:val="00317732"/>
    <w:rsid w:val="0032104F"/>
    <w:rsid w:val="00321C97"/>
    <w:rsid w:val="003229A8"/>
    <w:rsid w:val="00327DB5"/>
    <w:rsid w:val="003435BB"/>
    <w:rsid w:val="003442DE"/>
    <w:rsid w:val="00347513"/>
    <w:rsid w:val="00352E94"/>
    <w:rsid w:val="00353D08"/>
    <w:rsid w:val="00360968"/>
    <w:rsid w:val="00367841"/>
    <w:rsid w:val="00380793"/>
    <w:rsid w:val="00381BDA"/>
    <w:rsid w:val="00395334"/>
    <w:rsid w:val="003A0704"/>
    <w:rsid w:val="003A1D36"/>
    <w:rsid w:val="003A3AD4"/>
    <w:rsid w:val="003A42DB"/>
    <w:rsid w:val="003A62BC"/>
    <w:rsid w:val="003B05B9"/>
    <w:rsid w:val="003B6A48"/>
    <w:rsid w:val="003C104E"/>
    <w:rsid w:val="003C3440"/>
    <w:rsid w:val="003C3F75"/>
    <w:rsid w:val="003C5B0C"/>
    <w:rsid w:val="003C60F2"/>
    <w:rsid w:val="003D3C1F"/>
    <w:rsid w:val="003E255E"/>
    <w:rsid w:val="003E4379"/>
    <w:rsid w:val="003E46C0"/>
    <w:rsid w:val="003F3EED"/>
    <w:rsid w:val="003F6404"/>
    <w:rsid w:val="00403327"/>
    <w:rsid w:val="00404EAA"/>
    <w:rsid w:val="00407DC3"/>
    <w:rsid w:val="004101E4"/>
    <w:rsid w:val="0041036C"/>
    <w:rsid w:val="004148D2"/>
    <w:rsid w:val="00415D9D"/>
    <w:rsid w:val="00416C60"/>
    <w:rsid w:val="0042230D"/>
    <w:rsid w:val="00432940"/>
    <w:rsid w:val="00432F4E"/>
    <w:rsid w:val="0045705E"/>
    <w:rsid w:val="00463000"/>
    <w:rsid w:val="00464A4F"/>
    <w:rsid w:val="00477C97"/>
    <w:rsid w:val="00483EC8"/>
    <w:rsid w:val="00483F76"/>
    <w:rsid w:val="004927F6"/>
    <w:rsid w:val="00497DEA"/>
    <w:rsid w:val="004A2CDB"/>
    <w:rsid w:val="004A3BDE"/>
    <w:rsid w:val="004B41EF"/>
    <w:rsid w:val="004B4FE1"/>
    <w:rsid w:val="004B74EA"/>
    <w:rsid w:val="004C4135"/>
    <w:rsid w:val="004C5083"/>
    <w:rsid w:val="004C6BD3"/>
    <w:rsid w:val="004C7DC1"/>
    <w:rsid w:val="004D2041"/>
    <w:rsid w:val="004D5029"/>
    <w:rsid w:val="004E130C"/>
    <w:rsid w:val="004F4539"/>
    <w:rsid w:val="00501B32"/>
    <w:rsid w:val="0050577C"/>
    <w:rsid w:val="00516453"/>
    <w:rsid w:val="00520A1D"/>
    <w:rsid w:val="00524CFE"/>
    <w:rsid w:val="005323B2"/>
    <w:rsid w:val="0053264C"/>
    <w:rsid w:val="00535989"/>
    <w:rsid w:val="00535FFB"/>
    <w:rsid w:val="00540885"/>
    <w:rsid w:val="005519F6"/>
    <w:rsid w:val="0055228D"/>
    <w:rsid w:val="00552641"/>
    <w:rsid w:val="00554742"/>
    <w:rsid w:val="00573DE3"/>
    <w:rsid w:val="00590952"/>
    <w:rsid w:val="00592EAD"/>
    <w:rsid w:val="0059697C"/>
    <w:rsid w:val="00597221"/>
    <w:rsid w:val="005A6FC1"/>
    <w:rsid w:val="005B239F"/>
    <w:rsid w:val="005B2BD5"/>
    <w:rsid w:val="005B35E4"/>
    <w:rsid w:val="005B78C0"/>
    <w:rsid w:val="005D24BA"/>
    <w:rsid w:val="005D3D8E"/>
    <w:rsid w:val="005E2F63"/>
    <w:rsid w:val="005F3603"/>
    <w:rsid w:val="00601131"/>
    <w:rsid w:val="00605610"/>
    <w:rsid w:val="006134E3"/>
    <w:rsid w:val="006320FA"/>
    <w:rsid w:val="006365B1"/>
    <w:rsid w:val="006452B2"/>
    <w:rsid w:val="00661DFD"/>
    <w:rsid w:val="0066606F"/>
    <w:rsid w:val="00672FC8"/>
    <w:rsid w:val="00675334"/>
    <w:rsid w:val="00681725"/>
    <w:rsid w:val="00681DEC"/>
    <w:rsid w:val="00685F9C"/>
    <w:rsid w:val="006910BD"/>
    <w:rsid w:val="00691447"/>
    <w:rsid w:val="00696302"/>
    <w:rsid w:val="00696477"/>
    <w:rsid w:val="006A1D85"/>
    <w:rsid w:val="006A27C8"/>
    <w:rsid w:val="006B070F"/>
    <w:rsid w:val="006B7E41"/>
    <w:rsid w:val="006C20F9"/>
    <w:rsid w:val="006C21A7"/>
    <w:rsid w:val="006D0199"/>
    <w:rsid w:val="006D38F4"/>
    <w:rsid w:val="006D6F9A"/>
    <w:rsid w:val="006E395D"/>
    <w:rsid w:val="006F1A08"/>
    <w:rsid w:val="006F2C54"/>
    <w:rsid w:val="006F502C"/>
    <w:rsid w:val="00700558"/>
    <w:rsid w:val="00702CBA"/>
    <w:rsid w:val="00702EDE"/>
    <w:rsid w:val="0070693B"/>
    <w:rsid w:val="00714B87"/>
    <w:rsid w:val="00716B56"/>
    <w:rsid w:val="007217F5"/>
    <w:rsid w:val="0072194E"/>
    <w:rsid w:val="007263B9"/>
    <w:rsid w:val="00727B9B"/>
    <w:rsid w:val="00731A41"/>
    <w:rsid w:val="00735EBD"/>
    <w:rsid w:val="007378E7"/>
    <w:rsid w:val="007470D3"/>
    <w:rsid w:val="007511D4"/>
    <w:rsid w:val="00764FF9"/>
    <w:rsid w:val="00772301"/>
    <w:rsid w:val="007726B8"/>
    <w:rsid w:val="00772E8B"/>
    <w:rsid w:val="00777130"/>
    <w:rsid w:val="007804A2"/>
    <w:rsid w:val="00783763"/>
    <w:rsid w:val="00786A89"/>
    <w:rsid w:val="007911F5"/>
    <w:rsid w:val="007927EA"/>
    <w:rsid w:val="0079445F"/>
    <w:rsid w:val="007948CB"/>
    <w:rsid w:val="007958A5"/>
    <w:rsid w:val="007A4039"/>
    <w:rsid w:val="007A619B"/>
    <w:rsid w:val="007B4E49"/>
    <w:rsid w:val="007B7040"/>
    <w:rsid w:val="007C4B2E"/>
    <w:rsid w:val="007D6513"/>
    <w:rsid w:val="007D7164"/>
    <w:rsid w:val="007E19AE"/>
    <w:rsid w:val="007E5099"/>
    <w:rsid w:val="007E71EE"/>
    <w:rsid w:val="007F6E8D"/>
    <w:rsid w:val="00803287"/>
    <w:rsid w:val="00812119"/>
    <w:rsid w:val="00812217"/>
    <w:rsid w:val="00812F92"/>
    <w:rsid w:val="00824F90"/>
    <w:rsid w:val="00831FB7"/>
    <w:rsid w:val="0083589A"/>
    <w:rsid w:val="0085157A"/>
    <w:rsid w:val="00855E8D"/>
    <w:rsid w:val="00855F12"/>
    <w:rsid w:val="008579D0"/>
    <w:rsid w:val="0086160C"/>
    <w:rsid w:val="00863A20"/>
    <w:rsid w:val="0086452C"/>
    <w:rsid w:val="008646D2"/>
    <w:rsid w:val="00870E3A"/>
    <w:rsid w:val="008753E1"/>
    <w:rsid w:val="008826D9"/>
    <w:rsid w:val="008909F6"/>
    <w:rsid w:val="008B732F"/>
    <w:rsid w:val="008C1B91"/>
    <w:rsid w:val="008D06AA"/>
    <w:rsid w:val="008D1FA9"/>
    <w:rsid w:val="008D4538"/>
    <w:rsid w:val="008D69EE"/>
    <w:rsid w:val="008D75A4"/>
    <w:rsid w:val="008D79E2"/>
    <w:rsid w:val="008E0CF9"/>
    <w:rsid w:val="008E132A"/>
    <w:rsid w:val="008E25F7"/>
    <w:rsid w:val="008E345D"/>
    <w:rsid w:val="008E79A7"/>
    <w:rsid w:val="008F02C4"/>
    <w:rsid w:val="008F2CAC"/>
    <w:rsid w:val="008F558F"/>
    <w:rsid w:val="008F5F75"/>
    <w:rsid w:val="008F78F8"/>
    <w:rsid w:val="009054CF"/>
    <w:rsid w:val="00905E9E"/>
    <w:rsid w:val="0090616C"/>
    <w:rsid w:val="00907325"/>
    <w:rsid w:val="00907868"/>
    <w:rsid w:val="009143E1"/>
    <w:rsid w:val="00920A4A"/>
    <w:rsid w:val="00921F9C"/>
    <w:rsid w:val="00923A54"/>
    <w:rsid w:val="00923D61"/>
    <w:rsid w:val="0092748B"/>
    <w:rsid w:val="00933526"/>
    <w:rsid w:val="00936452"/>
    <w:rsid w:val="00940097"/>
    <w:rsid w:val="009527CD"/>
    <w:rsid w:val="00963364"/>
    <w:rsid w:val="00965312"/>
    <w:rsid w:val="009848D0"/>
    <w:rsid w:val="009913FA"/>
    <w:rsid w:val="0099302C"/>
    <w:rsid w:val="00994CD9"/>
    <w:rsid w:val="009979A0"/>
    <w:rsid w:val="009A413D"/>
    <w:rsid w:val="009C2C8A"/>
    <w:rsid w:val="009D6973"/>
    <w:rsid w:val="009D6C3F"/>
    <w:rsid w:val="009D776E"/>
    <w:rsid w:val="009E648A"/>
    <w:rsid w:val="009F28C3"/>
    <w:rsid w:val="009F50FE"/>
    <w:rsid w:val="009F5B14"/>
    <w:rsid w:val="00A04874"/>
    <w:rsid w:val="00A04B23"/>
    <w:rsid w:val="00A06B18"/>
    <w:rsid w:val="00A0725E"/>
    <w:rsid w:val="00A14EC9"/>
    <w:rsid w:val="00A25D0E"/>
    <w:rsid w:val="00A3336C"/>
    <w:rsid w:val="00A35AE2"/>
    <w:rsid w:val="00A50405"/>
    <w:rsid w:val="00A6300D"/>
    <w:rsid w:val="00A65BC9"/>
    <w:rsid w:val="00A66676"/>
    <w:rsid w:val="00A80BCB"/>
    <w:rsid w:val="00A8485B"/>
    <w:rsid w:val="00A91E44"/>
    <w:rsid w:val="00A949A5"/>
    <w:rsid w:val="00AA097C"/>
    <w:rsid w:val="00AA4344"/>
    <w:rsid w:val="00AA751F"/>
    <w:rsid w:val="00AB33C6"/>
    <w:rsid w:val="00AC256D"/>
    <w:rsid w:val="00AD16D0"/>
    <w:rsid w:val="00AD5461"/>
    <w:rsid w:val="00AD6484"/>
    <w:rsid w:val="00AE73E9"/>
    <w:rsid w:val="00AF185F"/>
    <w:rsid w:val="00AF395B"/>
    <w:rsid w:val="00AF61BE"/>
    <w:rsid w:val="00B04289"/>
    <w:rsid w:val="00B16C23"/>
    <w:rsid w:val="00B23ED9"/>
    <w:rsid w:val="00B26F89"/>
    <w:rsid w:val="00B2759B"/>
    <w:rsid w:val="00B31408"/>
    <w:rsid w:val="00B32267"/>
    <w:rsid w:val="00B34ABF"/>
    <w:rsid w:val="00B40334"/>
    <w:rsid w:val="00B40C28"/>
    <w:rsid w:val="00B40F6E"/>
    <w:rsid w:val="00B45FF5"/>
    <w:rsid w:val="00B54632"/>
    <w:rsid w:val="00B7425F"/>
    <w:rsid w:val="00B77018"/>
    <w:rsid w:val="00B7760F"/>
    <w:rsid w:val="00B83A09"/>
    <w:rsid w:val="00B85306"/>
    <w:rsid w:val="00B8754F"/>
    <w:rsid w:val="00B96649"/>
    <w:rsid w:val="00B979E2"/>
    <w:rsid w:val="00BB262B"/>
    <w:rsid w:val="00BC0B0C"/>
    <w:rsid w:val="00BC23C6"/>
    <w:rsid w:val="00BC73FB"/>
    <w:rsid w:val="00BE1BE0"/>
    <w:rsid w:val="00BF6964"/>
    <w:rsid w:val="00C01A49"/>
    <w:rsid w:val="00C05AA2"/>
    <w:rsid w:val="00C06B49"/>
    <w:rsid w:val="00C07B92"/>
    <w:rsid w:val="00C11B61"/>
    <w:rsid w:val="00C1776C"/>
    <w:rsid w:val="00C37E9B"/>
    <w:rsid w:val="00C5796F"/>
    <w:rsid w:val="00C65A7D"/>
    <w:rsid w:val="00C66C83"/>
    <w:rsid w:val="00C7217F"/>
    <w:rsid w:val="00C80672"/>
    <w:rsid w:val="00C83871"/>
    <w:rsid w:val="00C91361"/>
    <w:rsid w:val="00C93A32"/>
    <w:rsid w:val="00C963CE"/>
    <w:rsid w:val="00CA43B5"/>
    <w:rsid w:val="00CA4FC8"/>
    <w:rsid w:val="00CB44B8"/>
    <w:rsid w:val="00CB64D2"/>
    <w:rsid w:val="00CB6D77"/>
    <w:rsid w:val="00CC725B"/>
    <w:rsid w:val="00CD1BBF"/>
    <w:rsid w:val="00CD238D"/>
    <w:rsid w:val="00CD3343"/>
    <w:rsid w:val="00CD5DAD"/>
    <w:rsid w:val="00CD64AD"/>
    <w:rsid w:val="00CD754E"/>
    <w:rsid w:val="00CF0707"/>
    <w:rsid w:val="00CF5B6E"/>
    <w:rsid w:val="00CF70EF"/>
    <w:rsid w:val="00D03C79"/>
    <w:rsid w:val="00D13DB2"/>
    <w:rsid w:val="00D143DF"/>
    <w:rsid w:val="00D207AC"/>
    <w:rsid w:val="00D34C6D"/>
    <w:rsid w:val="00D35925"/>
    <w:rsid w:val="00D441B2"/>
    <w:rsid w:val="00D45151"/>
    <w:rsid w:val="00D549AC"/>
    <w:rsid w:val="00D602A8"/>
    <w:rsid w:val="00D63588"/>
    <w:rsid w:val="00D63677"/>
    <w:rsid w:val="00D651C5"/>
    <w:rsid w:val="00D75FEF"/>
    <w:rsid w:val="00D86888"/>
    <w:rsid w:val="00D903E4"/>
    <w:rsid w:val="00D905D1"/>
    <w:rsid w:val="00D90EB9"/>
    <w:rsid w:val="00D9459A"/>
    <w:rsid w:val="00D94D4F"/>
    <w:rsid w:val="00D96007"/>
    <w:rsid w:val="00DA1B7E"/>
    <w:rsid w:val="00DA53DD"/>
    <w:rsid w:val="00DA616F"/>
    <w:rsid w:val="00DA64E1"/>
    <w:rsid w:val="00DB306D"/>
    <w:rsid w:val="00DC3E08"/>
    <w:rsid w:val="00DD04C6"/>
    <w:rsid w:val="00DD471B"/>
    <w:rsid w:val="00DE0670"/>
    <w:rsid w:val="00DE0DCF"/>
    <w:rsid w:val="00DE73A8"/>
    <w:rsid w:val="00DE74E5"/>
    <w:rsid w:val="00DF0765"/>
    <w:rsid w:val="00DF13F3"/>
    <w:rsid w:val="00E02374"/>
    <w:rsid w:val="00E02623"/>
    <w:rsid w:val="00E04F71"/>
    <w:rsid w:val="00E16B3F"/>
    <w:rsid w:val="00E209A3"/>
    <w:rsid w:val="00E2132A"/>
    <w:rsid w:val="00E2202D"/>
    <w:rsid w:val="00E329E8"/>
    <w:rsid w:val="00E353BA"/>
    <w:rsid w:val="00E57A5E"/>
    <w:rsid w:val="00E76199"/>
    <w:rsid w:val="00E8087F"/>
    <w:rsid w:val="00E83CB2"/>
    <w:rsid w:val="00E87591"/>
    <w:rsid w:val="00E96DBB"/>
    <w:rsid w:val="00EA1D1B"/>
    <w:rsid w:val="00EB3460"/>
    <w:rsid w:val="00EB4F59"/>
    <w:rsid w:val="00EB54DD"/>
    <w:rsid w:val="00EC3FEA"/>
    <w:rsid w:val="00EE1F7A"/>
    <w:rsid w:val="00EE2865"/>
    <w:rsid w:val="00EE2D6C"/>
    <w:rsid w:val="00EE3A28"/>
    <w:rsid w:val="00F00ED0"/>
    <w:rsid w:val="00F04802"/>
    <w:rsid w:val="00F07525"/>
    <w:rsid w:val="00F10BE6"/>
    <w:rsid w:val="00F206F3"/>
    <w:rsid w:val="00F21898"/>
    <w:rsid w:val="00F239CD"/>
    <w:rsid w:val="00F25FD9"/>
    <w:rsid w:val="00F308A8"/>
    <w:rsid w:val="00F32D4F"/>
    <w:rsid w:val="00F34C36"/>
    <w:rsid w:val="00F41EC4"/>
    <w:rsid w:val="00F44FE2"/>
    <w:rsid w:val="00F54559"/>
    <w:rsid w:val="00F5791F"/>
    <w:rsid w:val="00F62EA1"/>
    <w:rsid w:val="00F64914"/>
    <w:rsid w:val="00F6519E"/>
    <w:rsid w:val="00F65C33"/>
    <w:rsid w:val="00F70A90"/>
    <w:rsid w:val="00F712DB"/>
    <w:rsid w:val="00F72CC6"/>
    <w:rsid w:val="00F769A0"/>
    <w:rsid w:val="00F807E1"/>
    <w:rsid w:val="00F8244E"/>
    <w:rsid w:val="00F84E7F"/>
    <w:rsid w:val="00F921A0"/>
    <w:rsid w:val="00F93B1F"/>
    <w:rsid w:val="00F954E5"/>
    <w:rsid w:val="00F97B28"/>
    <w:rsid w:val="00FA01A5"/>
    <w:rsid w:val="00FA455A"/>
    <w:rsid w:val="00FA66D8"/>
    <w:rsid w:val="00FA7461"/>
    <w:rsid w:val="00FB15CD"/>
    <w:rsid w:val="00FC37C1"/>
    <w:rsid w:val="00FD0CA9"/>
    <w:rsid w:val="00FD667C"/>
    <w:rsid w:val="00FE1164"/>
    <w:rsid w:val="00FE324F"/>
    <w:rsid w:val="00FE7075"/>
    <w:rsid w:val="00FE70AD"/>
    <w:rsid w:val="00FE7EDC"/>
    <w:rsid w:val="00FF08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D0E00"/>
  <w15:docId w15:val="{12C8B735-A050-468B-9B7F-459A9442D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F4E"/>
    <w:pPr>
      <w:spacing w:after="120" w:line="360" w:lineRule="auto"/>
      <w:jc w:val="both"/>
    </w:pPr>
  </w:style>
  <w:style w:type="paragraph" w:styleId="Heading1">
    <w:name w:val="heading 1"/>
    <w:basedOn w:val="Normal"/>
    <w:next w:val="Normal"/>
    <w:link w:val="Heading1Char"/>
    <w:autoRedefine/>
    <w:uiPriority w:val="9"/>
    <w:qFormat/>
    <w:rsid w:val="00824F90"/>
    <w:pPr>
      <w:keepNext/>
      <w:keepLines/>
      <w:numPr>
        <w:numId w:val="16"/>
      </w:numPr>
      <w:spacing w:before="48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432F4E"/>
    <w:pPr>
      <w:keepNext/>
      <w:keepLines/>
      <w:numPr>
        <w:numId w:val="23"/>
      </w:numPr>
      <w:spacing w:before="320" w:after="360" w:line="276" w:lineRule="auto"/>
      <w:jc w:val="left"/>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35EBD"/>
    <w:pPr>
      <w:keepNext/>
      <w:keepLines/>
      <w:spacing w:before="240"/>
      <w:outlineLvl w:val="2"/>
    </w:pPr>
    <w:rPr>
      <w:rFonts w:eastAsiaTheme="majorEastAsia" w:cstheme="majorBidi"/>
      <w:b/>
      <w:bCs/>
    </w:rPr>
  </w:style>
  <w:style w:type="paragraph" w:styleId="Heading4">
    <w:name w:val="heading 4"/>
    <w:basedOn w:val="Heading3"/>
    <w:next w:val="Normal"/>
    <w:link w:val="Heading4Char"/>
    <w:uiPriority w:val="9"/>
    <w:unhideWhenUsed/>
    <w:qFormat/>
    <w:rsid w:val="00BE1BE0"/>
    <w:pPr>
      <w:spacing w:before="120"/>
      <w:outlineLvl w:val="3"/>
    </w:pPr>
    <w:rPr>
      <w:b w:val="0"/>
      <w:bCs w:val="0"/>
      <w:iCs/>
      <w:color w:val="000000" w:themeColor="text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D3D8E"/>
    <w:pPr>
      <w:spacing w:before="120"/>
      <w:jc w:val="left"/>
    </w:pPr>
    <w:rPr>
      <w:b/>
      <w:bCs/>
      <w:caps/>
      <w:sz w:val="20"/>
      <w:szCs w:val="20"/>
    </w:rPr>
  </w:style>
  <w:style w:type="character" w:customStyle="1" w:styleId="Heading1Char">
    <w:name w:val="Heading 1 Char"/>
    <w:basedOn w:val="DefaultParagraphFont"/>
    <w:link w:val="Heading1"/>
    <w:uiPriority w:val="9"/>
    <w:rsid w:val="00824F90"/>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432F4E"/>
    <w:rPr>
      <w:rFonts w:eastAsiaTheme="majorEastAsia" w:cstheme="majorBidi"/>
      <w:b/>
      <w:sz w:val="28"/>
      <w:szCs w:val="26"/>
    </w:rPr>
  </w:style>
  <w:style w:type="character" w:customStyle="1" w:styleId="Heading3Char">
    <w:name w:val="Heading 3 Char"/>
    <w:basedOn w:val="DefaultParagraphFont"/>
    <w:link w:val="Heading3"/>
    <w:uiPriority w:val="9"/>
    <w:rsid w:val="00735EBD"/>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BE1BE0"/>
    <w:rPr>
      <w:rFonts w:eastAsiaTheme="majorEastAsia" w:cstheme="majorBidi"/>
      <w:iCs/>
      <w:color w:val="000000" w:themeColor="text1"/>
      <w:szCs w:val="26"/>
      <w:u w:val="single"/>
    </w:rPr>
  </w:style>
  <w:style w:type="paragraph" w:styleId="TOC2">
    <w:name w:val="toc 2"/>
    <w:basedOn w:val="Normal"/>
    <w:next w:val="Normal"/>
    <w:autoRedefine/>
    <w:uiPriority w:val="39"/>
    <w:unhideWhenUsed/>
    <w:qFormat/>
    <w:rsid w:val="005D3D8E"/>
    <w:pPr>
      <w:ind w:left="240"/>
      <w:jc w:val="left"/>
    </w:pPr>
    <w:rPr>
      <w:sz w:val="20"/>
      <w:szCs w:val="20"/>
    </w:rPr>
  </w:style>
  <w:style w:type="paragraph" w:styleId="TOC3">
    <w:name w:val="toc 3"/>
    <w:basedOn w:val="Normal"/>
    <w:next w:val="Normal"/>
    <w:autoRedefine/>
    <w:uiPriority w:val="39"/>
    <w:unhideWhenUsed/>
    <w:qFormat/>
    <w:rsid w:val="008579D0"/>
    <w:pPr>
      <w:tabs>
        <w:tab w:val="right" w:leader="dot" w:pos="8188"/>
      </w:tabs>
      <w:ind w:left="482"/>
      <w:jc w:val="left"/>
    </w:pPr>
    <w:rPr>
      <w:iCs/>
      <w:sz w:val="20"/>
      <w:szCs w:val="20"/>
    </w:rPr>
  </w:style>
  <w:style w:type="paragraph" w:styleId="Caption">
    <w:name w:val="caption"/>
    <w:basedOn w:val="Normal"/>
    <w:next w:val="Normal"/>
    <w:uiPriority w:val="35"/>
    <w:unhideWhenUsed/>
    <w:qFormat/>
    <w:rsid w:val="0092748B"/>
    <w:pPr>
      <w:spacing w:after="360" w:line="240" w:lineRule="auto"/>
      <w:contextualSpacing/>
    </w:pPr>
    <w:rPr>
      <w:bCs/>
      <w:sz w:val="20"/>
      <w:szCs w:val="18"/>
    </w:rPr>
  </w:style>
  <w:style w:type="paragraph" w:styleId="Title">
    <w:name w:val="Title"/>
    <w:basedOn w:val="Normal"/>
    <w:next w:val="Normal"/>
    <w:link w:val="TitleChar"/>
    <w:uiPriority w:val="10"/>
    <w:qFormat/>
    <w:rsid w:val="000C0A23"/>
    <w:pPr>
      <w:pBdr>
        <w:bottom w:val="single" w:sz="8" w:space="4" w:color="4F81BD" w:themeColor="accent1"/>
      </w:pBdr>
      <w:spacing w:after="300" w:line="240" w:lineRule="auto"/>
      <w:ind w:left="720" w:hanging="36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0A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C0A23"/>
    <w:pPr>
      <w:ind w:left="720" w:hanging="3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C0A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C0A23"/>
    <w:rPr>
      <w:b/>
      <w:bCs/>
    </w:rPr>
  </w:style>
  <w:style w:type="paragraph" w:styleId="NoSpacing">
    <w:name w:val="No Spacing"/>
    <w:uiPriority w:val="1"/>
    <w:qFormat/>
    <w:rsid w:val="000C0A23"/>
    <w:pPr>
      <w:spacing w:after="0" w:line="240" w:lineRule="auto"/>
    </w:pPr>
    <w:rPr>
      <w:rFonts w:ascii="Times New Roman" w:hAnsi="Times New Roman"/>
      <w:sz w:val="24"/>
    </w:rPr>
  </w:style>
  <w:style w:type="paragraph" w:styleId="ListParagraph">
    <w:name w:val="List Paragraph"/>
    <w:basedOn w:val="Normal"/>
    <w:uiPriority w:val="34"/>
    <w:qFormat/>
    <w:rsid w:val="000C0A23"/>
    <w:pPr>
      <w:ind w:left="720"/>
      <w:contextualSpacing/>
    </w:pPr>
  </w:style>
  <w:style w:type="character" w:styleId="SubtleEmphasis">
    <w:name w:val="Subtle Emphasis"/>
    <w:basedOn w:val="DefaultParagraphFont"/>
    <w:uiPriority w:val="19"/>
    <w:qFormat/>
    <w:rsid w:val="000C0A23"/>
    <w:rPr>
      <w:i/>
      <w:iCs/>
      <w:color w:val="808080" w:themeColor="text1" w:themeTint="7F"/>
    </w:rPr>
  </w:style>
  <w:style w:type="character" w:styleId="SubtleReference">
    <w:name w:val="Subtle Reference"/>
    <w:basedOn w:val="DefaultParagraphFont"/>
    <w:uiPriority w:val="31"/>
    <w:qFormat/>
    <w:rsid w:val="000C0A23"/>
    <w:rPr>
      <w:smallCaps/>
      <w:color w:val="C0504D" w:themeColor="accent2"/>
      <w:u w:val="single"/>
    </w:rPr>
  </w:style>
  <w:style w:type="paragraph" w:styleId="TOCHeading">
    <w:name w:val="TOC Heading"/>
    <w:basedOn w:val="Heading1"/>
    <w:next w:val="Normal"/>
    <w:uiPriority w:val="39"/>
    <w:unhideWhenUsed/>
    <w:qFormat/>
    <w:rsid w:val="000C0A23"/>
    <w:pPr>
      <w:outlineLvl w:val="9"/>
    </w:pPr>
    <w:rPr>
      <w:rFonts w:asciiTheme="majorHAnsi" w:hAnsiTheme="majorHAnsi"/>
      <w:color w:val="365F91" w:themeColor="accent1" w:themeShade="BF"/>
      <w:lang w:val="en-US"/>
    </w:rPr>
  </w:style>
  <w:style w:type="character" w:styleId="CommentReference">
    <w:name w:val="annotation reference"/>
    <w:basedOn w:val="DefaultParagraphFont"/>
    <w:uiPriority w:val="99"/>
    <w:semiHidden/>
    <w:rsid w:val="00064AA6"/>
    <w:rPr>
      <w:rFonts w:cs="Times New Roman"/>
      <w:sz w:val="16"/>
      <w:szCs w:val="16"/>
    </w:rPr>
  </w:style>
  <w:style w:type="table" w:styleId="TableGrid">
    <w:name w:val="Table Grid"/>
    <w:basedOn w:val="TableNormal"/>
    <w:uiPriority w:val="59"/>
    <w:rsid w:val="00064AA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064AA6"/>
    <w:pPr>
      <w:autoSpaceDE w:val="0"/>
      <w:autoSpaceDN w:val="0"/>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064AA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64A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A6"/>
    <w:rPr>
      <w:rFonts w:ascii="Tahoma" w:hAnsi="Tahoma" w:cs="Tahoma"/>
      <w:sz w:val="16"/>
      <w:szCs w:val="16"/>
    </w:rPr>
  </w:style>
  <w:style w:type="paragraph" w:styleId="NormalWeb">
    <w:name w:val="Normal (Web)"/>
    <w:basedOn w:val="Normal"/>
    <w:uiPriority w:val="99"/>
    <w:rsid w:val="007511D4"/>
    <w:pPr>
      <w:spacing w:before="100" w:beforeAutospacing="1" w:after="100" w:afterAutospacing="1" w:line="240" w:lineRule="auto"/>
      <w:jc w:val="left"/>
    </w:pPr>
    <w:rPr>
      <w:rFonts w:eastAsia="Times New Roman" w:cs="Times New Roman"/>
      <w:szCs w:val="24"/>
      <w:lang w:eastAsia="en-IE"/>
    </w:rPr>
  </w:style>
  <w:style w:type="character" w:styleId="Hyperlink">
    <w:name w:val="Hyperlink"/>
    <w:basedOn w:val="DefaultParagraphFont"/>
    <w:uiPriority w:val="99"/>
    <w:unhideWhenUsed/>
    <w:rsid w:val="00C93A32"/>
    <w:rPr>
      <w:color w:val="0000FF" w:themeColor="hyperlink"/>
      <w:u w:val="single"/>
    </w:rPr>
  </w:style>
  <w:style w:type="paragraph" w:styleId="TOC4">
    <w:name w:val="toc 4"/>
    <w:basedOn w:val="Normal"/>
    <w:next w:val="Normal"/>
    <w:autoRedefine/>
    <w:uiPriority w:val="39"/>
    <w:unhideWhenUsed/>
    <w:rsid w:val="005D3D8E"/>
    <w:pPr>
      <w:spacing w:after="100"/>
      <w:ind w:left="720"/>
    </w:pPr>
    <w:rPr>
      <w:sz w:val="20"/>
    </w:rPr>
  </w:style>
  <w:style w:type="paragraph" w:customStyle="1" w:styleId="Default">
    <w:name w:val="Default"/>
    <w:rsid w:val="008579D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35EBD"/>
    <w:pPr>
      <w:tabs>
        <w:tab w:val="center" w:pos="4513"/>
        <w:tab w:val="right" w:pos="9026"/>
      </w:tabs>
      <w:spacing w:line="240" w:lineRule="auto"/>
    </w:pPr>
  </w:style>
  <w:style w:type="character" w:customStyle="1" w:styleId="HeaderChar">
    <w:name w:val="Header Char"/>
    <w:basedOn w:val="DefaultParagraphFont"/>
    <w:link w:val="Header"/>
    <w:uiPriority w:val="99"/>
    <w:rsid w:val="00735EBD"/>
    <w:rPr>
      <w:rFonts w:ascii="Arial" w:hAnsi="Arial"/>
      <w:sz w:val="24"/>
    </w:rPr>
  </w:style>
  <w:style w:type="paragraph" w:styleId="Footer">
    <w:name w:val="footer"/>
    <w:basedOn w:val="Normal"/>
    <w:link w:val="FooterChar"/>
    <w:uiPriority w:val="99"/>
    <w:unhideWhenUsed/>
    <w:rsid w:val="00735EBD"/>
    <w:pPr>
      <w:tabs>
        <w:tab w:val="center" w:pos="4513"/>
        <w:tab w:val="right" w:pos="9026"/>
      </w:tabs>
      <w:spacing w:line="240" w:lineRule="auto"/>
    </w:pPr>
  </w:style>
  <w:style w:type="character" w:customStyle="1" w:styleId="FooterChar">
    <w:name w:val="Footer Char"/>
    <w:basedOn w:val="DefaultParagraphFont"/>
    <w:link w:val="Footer"/>
    <w:uiPriority w:val="99"/>
    <w:rsid w:val="00735EBD"/>
    <w:rPr>
      <w:rFonts w:ascii="Arial" w:hAnsi="Arial"/>
      <w:sz w:val="24"/>
    </w:rPr>
  </w:style>
  <w:style w:type="paragraph" w:styleId="CommentSubject">
    <w:name w:val="annotation subject"/>
    <w:basedOn w:val="CommentText"/>
    <w:next w:val="CommentText"/>
    <w:link w:val="CommentSubjectChar"/>
    <w:uiPriority w:val="99"/>
    <w:semiHidden/>
    <w:unhideWhenUsed/>
    <w:rsid w:val="001747F8"/>
    <w:pPr>
      <w:autoSpaceDE/>
      <w:autoSpaceDN/>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1747F8"/>
    <w:rPr>
      <w:rFonts w:ascii="Arial" w:eastAsia="Times New Roman" w:hAnsi="Arial" w:cs="Times New Roman"/>
      <w:b/>
      <w:bCs/>
      <w:sz w:val="20"/>
      <w:szCs w:val="20"/>
    </w:rPr>
  </w:style>
  <w:style w:type="paragraph" w:styleId="TableofFigures">
    <w:name w:val="table of figures"/>
    <w:basedOn w:val="Normal"/>
    <w:next w:val="Normal"/>
    <w:uiPriority w:val="99"/>
    <w:unhideWhenUsed/>
    <w:rsid w:val="00A35AE2"/>
  </w:style>
  <w:style w:type="character" w:customStyle="1" w:styleId="tgc">
    <w:name w:val="_tgc"/>
    <w:basedOn w:val="DefaultParagraphFont"/>
    <w:rsid w:val="00D651C5"/>
  </w:style>
  <w:style w:type="paragraph" w:styleId="Revision">
    <w:name w:val="Revision"/>
    <w:hidden/>
    <w:uiPriority w:val="99"/>
    <w:semiHidden/>
    <w:rsid w:val="00352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59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jobrien@rcsi.i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ECC97-E214-40C7-89F1-79B380B3F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46961</Words>
  <Characters>267678</Characters>
  <Application>Microsoft Office Word</Application>
  <DocSecurity>0</DocSecurity>
  <Lines>2230</Lines>
  <Paragraphs>628</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314011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Ryan</dc:creator>
  <cp:lastModifiedBy>Christina Doherty</cp:lastModifiedBy>
  <cp:revision>2</cp:revision>
  <dcterms:created xsi:type="dcterms:W3CDTF">2019-02-05T15:24:00Z</dcterms:created>
  <dcterms:modified xsi:type="dcterms:W3CDTF">2019-02-05T15:24:00Z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http://www.zotero.org/styles/biomaterials</vt:lpwstr>
  </property>
  <property fmtid="{D5CDD505-2E9C-101B-9397-08002B2CF9AE}" pid="10" name="Mendeley Recent Style Name 3_1">
    <vt:lpwstr>Biomaterials</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360b7517-4466-3d05-a575-0c1ab8dbfb39</vt:lpwstr>
  </property>
  <property fmtid="{D5CDD505-2E9C-101B-9397-08002B2CF9AE}" pid="24" name="Mendeley Citation Style_1">
    <vt:lpwstr>http://www.zotero.org/styles/biomaterials</vt:lpwstr>
  </property>
</Properties>
</file>